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E834A" w14:textId="77777777" w:rsidR="003C5B0D" w:rsidRDefault="003C5B0D">
      <w:pPr>
        <w:spacing w:line="276" w:lineRule="auto"/>
        <w:jc w:val="center"/>
        <w:rPr>
          <w:rFonts w:ascii="Palatino Linotype" w:eastAsia="Palatino Linotype" w:hAnsi="Palatino Linotype" w:cs="Palatino Linotype"/>
          <w:b/>
          <w:highlight w:val="yellow"/>
        </w:rPr>
      </w:pPr>
    </w:p>
    <w:tbl>
      <w:tblPr>
        <w:tblW w:w="97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29"/>
      </w:tblGrid>
      <w:tr w:rsidR="003C5B0D" w14:paraId="1A413DB7"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3C6F70A5" w14:textId="77777777" w:rsidR="003C5B0D" w:rsidRDefault="00C26DAA">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3C5B0D" w14:paraId="091A6E16"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620162E2" w14:textId="77777777" w:rsidR="00885D15" w:rsidRPr="00885D15" w:rsidRDefault="00C26DAA" w:rsidP="00885D15">
            <w:pPr>
              <w:widowControl w:val="0"/>
              <w:spacing w:before="60" w:after="60" w:line="276" w:lineRule="auto"/>
              <w:jc w:val="center"/>
              <w:rPr>
                <w:rFonts w:ascii="Palatino Linotype" w:eastAsia="Palatino Linotype" w:hAnsi="Palatino Linotype" w:cs="Palatino Linotype"/>
                <w:bCs/>
                <w:sz w:val="20"/>
                <w:szCs w:val="20"/>
              </w:rPr>
            </w:pPr>
            <w:r w:rsidRPr="00885D15">
              <w:rPr>
                <w:rFonts w:ascii="Palatino Linotype" w:eastAsia="Palatino Linotype" w:hAnsi="Palatino Linotype" w:cs="Palatino Linotype"/>
                <w:bCs/>
                <w:sz w:val="20"/>
                <w:szCs w:val="20"/>
              </w:rPr>
              <w:t>OGGETTO AFFIDAMENTO:</w:t>
            </w:r>
          </w:p>
          <w:p w14:paraId="380DEBC3" w14:textId="0F0C73E1" w:rsidR="003C5B0D" w:rsidRDefault="00885D15" w:rsidP="00885D15">
            <w:pPr>
              <w:widowControl w:val="0"/>
              <w:spacing w:before="60" w:after="60" w:line="276" w:lineRule="auto"/>
              <w:jc w:val="both"/>
            </w:pPr>
            <w:r w:rsidRPr="00885D15">
              <w:rPr>
                <w:rFonts w:ascii="Palatino Linotype" w:hAnsi="Palatino Linotype"/>
                <w:sz w:val="20"/>
                <w:szCs w:val="20"/>
              </w:rPr>
              <w:t>FORNITURA</w:t>
            </w:r>
            <w:r w:rsidRPr="00885D15">
              <w:rPr>
                <w:sz w:val="20"/>
                <w:szCs w:val="20"/>
              </w:rPr>
              <w:t xml:space="preserve"> DI IMPIANTO AUDIO, LUCI, VIDEO E STRUTTURE </w:t>
            </w:r>
            <w:r w:rsidR="00614ACC">
              <w:rPr>
                <w:sz w:val="20"/>
                <w:szCs w:val="20"/>
              </w:rPr>
              <w:t>“</w:t>
            </w:r>
            <w:r w:rsidRPr="00885D15">
              <w:rPr>
                <w:sz w:val="20"/>
                <w:szCs w:val="20"/>
              </w:rPr>
              <w:t>AMERICANA SU TORRI</w:t>
            </w:r>
            <w:r w:rsidR="00614ACC">
              <w:rPr>
                <w:sz w:val="20"/>
                <w:szCs w:val="20"/>
              </w:rPr>
              <w:t>”</w:t>
            </w:r>
            <w:r w:rsidRPr="00885D15">
              <w:rPr>
                <w:sz w:val="20"/>
                <w:szCs w:val="20"/>
              </w:rPr>
              <w:t xml:space="preserve"> PER “PORTO AZZURRO FESTIVAL 2024 – SECONDA EDIZIONE” 19 LUGLIO, 2 E 16 AGOSTO 2024 - PIAZZA MATTEOTTI PORTO AZZURRO.</w:t>
            </w:r>
          </w:p>
        </w:tc>
      </w:tr>
    </w:tbl>
    <w:p w14:paraId="55FDF817" w14:textId="77777777" w:rsidR="003C5B0D" w:rsidRDefault="003C5B0D">
      <w:pPr>
        <w:widowControl w:val="0"/>
        <w:spacing w:before="120" w:after="120" w:line="276" w:lineRule="auto"/>
        <w:rPr>
          <w:rFonts w:ascii="Palatino Linotype" w:eastAsia="Palatino Linotype" w:hAnsi="Palatino Linotype" w:cs="Palatino Linotype"/>
          <w:b/>
          <w:sz w:val="22"/>
          <w:szCs w:val="22"/>
        </w:rPr>
      </w:pPr>
    </w:p>
    <w:tbl>
      <w:tblPr>
        <w:tblW w:w="970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87"/>
        <w:gridCol w:w="559"/>
        <w:gridCol w:w="120"/>
        <w:gridCol w:w="704"/>
        <w:gridCol w:w="1307"/>
        <w:gridCol w:w="1575"/>
        <w:gridCol w:w="210"/>
        <w:gridCol w:w="855"/>
        <w:gridCol w:w="266"/>
        <w:gridCol w:w="3122"/>
      </w:tblGrid>
      <w:tr w:rsidR="003C5B0D" w14:paraId="513FBE0A" w14:textId="77777777">
        <w:trPr>
          <w:cantSplit/>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2369B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9C5A4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7DA9FC8E" w14:textId="77777777">
        <w:trPr>
          <w:cantSplit/>
          <w:trHeight w:val="724"/>
        </w:trPr>
        <w:tc>
          <w:tcPr>
            <w:tcW w:w="367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6A6F9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2F477AD3" w14:textId="77777777" w:rsidR="003C5B0D" w:rsidRDefault="00C26DAA">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3FC65E"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518CC17" w14:textId="77777777">
        <w:trPr>
          <w:cantSplit/>
          <w:trHeight w:val="476"/>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ACFD0"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13650F"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D883FD" w14:textId="77777777">
        <w:trPr>
          <w:cantSplit/>
          <w:trHeight w:val="200"/>
        </w:trPr>
        <w:tc>
          <w:tcPr>
            <w:tcW w:w="236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A4773" w14:textId="77777777" w:rsidR="003C5B0D" w:rsidRDefault="00C26DAA">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73F059" w14:textId="77777777" w:rsidR="003C5B0D" w:rsidRDefault="003C5B0D">
            <w:pPr>
              <w:spacing w:before="60" w:after="60" w:line="276" w:lineRule="auto"/>
              <w:rPr>
                <w:rFonts w:ascii="Palatino Linotype" w:eastAsia="Palatino Linotype" w:hAnsi="Palatino Linotype" w:cs="Palatino Linotype"/>
                <w:sz w:val="20"/>
                <w:szCs w:val="20"/>
              </w:rPr>
            </w:pPr>
          </w:p>
        </w:tc>
      </w:tr>
      <w:tr w:rsidR="003C5B0D" w14:paraId="78263B17" w14:textId="77777777">
        <w:trPr>
          <w:cantSplit/>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4C4BD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06432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B3D61"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EA900"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465C3E7D"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B5D63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8F0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1C3B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CEECB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0BE30CB"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D60D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0F76"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EEA0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24BEF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B629E48" w14:textId="77777777" w:rsidR="003C5B0D" w:rsidRDefault="00C26DA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426"/>
        <w:gridCol w:w="3046"/>
        <w:gridCol w:w="423"/>
        <w:gridCol w:w="5739"/>
      </w:tblGrid>
      <w:tr w:rsidR="003C5B0D" w14:paraId="3DE7685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F1562"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C439B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3C5B0D" w14:paraId="57839F4F"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19AAE70"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2300E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E6DF2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BECAF"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n. 36/2023;</w:t>
            </w:r>
          </w:p>
        </w:tc>
      </w:tr>
      <w:tr w:rsidR="003C5B0D" w14:paraId="7093721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F837A34"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1F41B4C"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C7F692"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4B0F37" w14:textId="77777777" w:rsidR="003C5B0D" w:rsidRDefault="003C5B0D">
            <w:pPr>
              <w:keepNext/>
              <w:widowControl w:val="0"/>
              <w:spacing w:line="276" w:lineRule="auto"/>
              <w:rPr>
                <w:rFonts w:ascii="Palatino Linotype" w:eastAsia="Palatino Linotype" w:hAnsi="Palatino Linotype" w:cs="Palatino Linotype"/>
                <w:sz w:val="20"/>
                <w:szCs w:val="20"/>
              </w:rPr>
            </w:pPr>
          </w:p>
        </w:tc>
      </w:tr>
      <w:tr w:rsidR="003C5B0D" w14:paraId="48CF724B"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CD6A3"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1315D7"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399ECA"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D8260"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n. 36/2023; </w:t>
            </w:r>
          </w:p>
        </w:tc>
      </w:tr>
      <w:tr w:rsidR="003C5B0D" w14:paraId="186BD4F2"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083C8" w14:textId="77777777" w:rsidR="003C5B0D" w:rsidRDefault="00C26DAA">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C7602"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380937"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C63854" w14:textId="77777777" w:rsidR="003C5B0D" w:rsidRDefault="003C5B0D">
            <w:pPr>
              <w:keepNext/>
              <w:widowControl w:val="0"/>
              <w:spacing w:line="276" w:lineRule="auto"/>
              <w:rPr>
                <w:rFonts w:ascii="Palatino Linotype" w:eastAsia="Palatino Linotype" w:hAnsi="Palatino Linotype" w:cs="Palatino Linotype"/>
                <w:sz w:val="20"/>
                <w:szCs w:val="20"/>
              </w:rPr>
            </w:pPr>
          </w:p>
        </w:tc>
      </w:tr>
    </w:tbl>
    <w:p w14:paraId="7BD51277" w14:textId="77777777" w:rsidR="003C5B0D" w:rsidRDefault="003C5B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832552B"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n. 36/2023:</w:t>
      </w:r>
    </w:p>
    <w:p w14:paraId="7DFA28DC" w14:textId="77777777" w:rsidR="003C5B0D" w:rsidRDefault="00C26DAA">
      <w:pPr>
        <w:numPr>
          <w:ilvl w:val="0"/>
          <w:numId w:val="1"/>
        </w:numPr>
        <w:spacing w:before="60" w:line="276" w:lineRule="auto"/>
        <w:jc w:val="both"/>
      </w:pPr>
      <w:r>
        <w:rPr>
          <w:rFonts w:ascii="Palatino Linotype" w:eastAsia="Palatino Linotype" w:hAnsi="Palatino Linotype" w:cs="Palatino Linotype"/>
          <w:sz w:val="20"/>
          <w:szCs w:val="20"/>
        </w:rPr>
        <w:t>nelle procedure di affidamento di cui all’</w:t>
      </w:r>
      <w:hyperlink r:id="rId6" w:anchor="050" w:history="1">
        <w:r>
          <w:rPr>
            <w:rStyle w:val="CollegamentoInternet"/>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0FE82C0" w14:textId="77777777" w:rsidR="003C5B0D" w:rsidRDefault="00C26DAA">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3EEAB8EC" w14:textId="77777777" w:rsidR="003C5B0D" w:rsidRDefault="003C5B0D">
      <w:pPr>
        <w:spacing w:before="60" w:after="60" w:line="276" w:lineRule="auto"/>
        <w:jc w:val="both"/>
        <w:rPr>
          <w:rFonts w:ascii="Palatino Linotype" w:eastAsia="Palatino Linotype" w:hAnsi="Palatino Linotype" w:cs="Palatino Linotype"/>
          <w:sz w:val="22"/>
          <w:szCs w:val="22"/>
        </w:rPr>
      </w:pPr>
    </w:p>
    <w:p w14:paraId="4DC4FFEA" w14:textId="77777777" w:rsidR="003C5B0D" w:rsidRDefault="00C26DAA">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lastRenderedPageBreak/>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199A9292" w14:textId="77777777" w:rsidR="003C5B0D" w:rsidRDefault="00C26DAA">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9F5A75B" w14:textId="77777777" w:rsidR="003C5B0D" w:rsidRDefault="00C26DAA">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351"/>
        <w:gridCol w:w="3612"/>
        <w:gridCol w:w="1842"/>
        <w:gridCol w:w="428"/>
        <w:gridCol w:w="849"/>
        <w:gridCol w:w="1557"/>
      </w:tblGrid>
      <w:tr w:rsidR="003C5B0D" w14:paraId="65451A27" w14:textId="77777777">
        <w:trPr>
          <w:trHeight w:val="476"/>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22305D"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A645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7C96C1B"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F3E10B" w14:textId="77777777">
        <w:trPr>
          <w:trHeight w:val="700"/>
        </w:trPr>
        <w:tc>
          <w:tcPr>
            <w:tcW w:w="13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093BE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C29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D33F92"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3A705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A0D2202" w14:textId="77777777" w:rsidR="003C5B0D" w:rsidRDefault="003C5B0D">
      <w:pPr>
        <w:spacing w:line="276" w:lineRule="auto"/>
        <w:rPr>
          <w:rFonts w:ascii="Palatino Linotype" w:eastAsia="Palatino Linotype" w:hAnsi="Palatino Linotype" w:cs="Palatino Linotype"/>
          <w:b/>
          <w:i/>
          <w:color w:val="FF0000"/>
          <w:sz w:val="20"/>
          <w:szCs w:val="20"/>
        </w:rPr>
      </w:pPr>
    </w:p>
    <w:p w14:paraId="14DE9DB7"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W w:w="942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18"/>
        <w:gridCol w:w="2972"/>
        <w:gridCol w:w="210"/>
        <w:gridCol w:w="3120"/>
      </w:tblGrid>
      <w:tr w:rsidR="003C5B0D" w14:paraId="34BCDE9E" w14:textId="77777777">
        <w:trPr>
          <w:trHeight w:val="200"/>
        </w:trPr>
        <w:tc>
          <w:tcPr>
            <w:tcW w:w="609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3B553A0A"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4FA07330"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96FE54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5BE0627D" w14:textId="77777777">
        <w:tc>
          <w:tcPr>
            <w:tcW w:w="942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521D9"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titolare e il direttore tecnico</w:t>
            </w:r>
            <w:r>
              <w:rPr>
                <w:rFonts w:ascii="Palatino Linotype" w:eastAsia="Palatino Linotype" w:hAnsi="Palatino Linotype" w:cs="Palatino Linotype"/>
                <w:sz w:val="20"/>
                <w:szCs w:val="20"/>
              </w:rPr>
              <w:t xml:space="preserve"> sono i seguenti soggetti:</w:t>
            </w:r>
          </w:p>
        </w:tc>
      </w:tr>
      <w:tr w:rsidR="003C5B0D" w14:paraId="2E0DE8B3" w14:textId="77777777">
        <w:tc>
          <w:tcPr>
            <w:tcW w:w="3118"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4A2F3B6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10626F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411E86A"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5F4F3B32"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4EBB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F40A1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343E8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3C5B0D" w14:paraId="64905CFF"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9EE6E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0DCBF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55BF1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8F590BB" w14:textId="77777777">
        <w:trPr>
          <w:trHeight w:val="182"/>
        </w:trPr>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4C90B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8431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12092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3FBE2A14"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7D611A6D"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1"/>
        <w:gridCol w:w="109"/>
        <w:gridCol w:w="3120"/>
      </w:tblGrid>
      <w:tr w:rsidR="003C5B0D" w14:paraId="3A022450" w14:textId="77777777">
        <w:trPr>
          <w:trHeight w:val="200"/>
        </w:trPr>
        <w:tc>
          <w:tcPr>
            <w:tcW w:w="6131"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113FCDA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7C10B2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23D4E92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C41B3D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7D70B"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il direttore tecnico </w:t>
            </w:r>
            <w:r>
              <w:rPr>
                <w:rFonts w:ascii="Palatino Linotype" w:eastAsia="Palatino Linotype" w:hAnsi="Palatino Linotype" w:cs="Palatino Linotype"/>
                <w:sz w:val="20"/>
                <w:szCs w:val="20"/>
              </w:rPr>
              <w:t xml:space="preserve">sono i seguenti soggetti: </w:t>
            </w:r>
          </w:p>
        </w:tc>
      </w:tr>
      <w:tr w:rsidR="003C5B0D" w14:paraId="16151ED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F9DEA4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8322441"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6A57F66"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609B326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4D973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AFFDA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4A2476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3C5B0D" w14:paraId="36F244DA"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E9ABC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6EDB22"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16D9A74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174273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829A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739A7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F92E5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110767"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3855CA84"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5"/>
        <w:gridCol w:w="105"/>
        <w:gridCol w:w="3120"/>
      </w:tblGrid>
      <w:tr w:rsidR="003C5B0D" w14:paraId="225FC89D" w14:textId="77777777">
        <w:trPr>
          <w:trHeight w:val="200"/>
        </w:trPr>
        <w:tc>
          <w:tcPr>
            <w:tcW w:w="613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E470A7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66928E9"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B533687"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466ACE9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9FF445"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shd w:val="clear" w:color="auto" w:fill="FFFFFF"/>
              </w:rPr>
              <w:t>il direttore tecnico sono i seguenti soggetti:</w:t>
            </w:r>
          </w:p>
        </w:tc>
      </w:tr>
      <w:tr w:rsidR="003C5B0D" w14:paraId="3D6ECD1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A8524D2"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0E24037"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72C6531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7C57539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BF7BB8"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A25C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188E8C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3C5B0D" w14:paraId="3796CBB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EA94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2059D0"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E225EAC"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48A0803B"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12269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5F330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5EBB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642C7A" w14:textId="77777777" w:rsidR="003C5B0D" w:rsidRDefault="003C5B0D">
      <w:pPr>
        <w:spacing w:line="276" w:lineRule="auto"/>
        <w:jc w:val="both"/>
        <w:rPr>
          <w:rFonts w:ascii="Palatino Linotype" w:eastAsia="Palatino Linotype" w:hAnsi="Palatino Linotype" w:cs="Palatino Linotype"/>
          <w:b/>
          <w:i/>
          <w:color w:val="FF0000"/>
          <w:sz w:val="20"/>
          <w:szCs w:val="20"/>
        </w:rPr>
      </w:pPr>
    </w:p>
    <w:p w14:paraId="2E0B2461" w14:textId="77777777" w:rsidR="003C5B0D" w:rsidRDefault="00C26DAA">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7C7F71D4"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980"/>
        <w:gridCol w:w="1125"/>
        <w:gridCol w:w="3015"/>
        <w:gridCol w:w="103"/>
        <w:gridCol w:w="3122"/>
      </w:tblGrid>
      <w:tr w:rsidR="003C5B0D" w14:paraId="09D2AE33" w14:textId="77777777">
        <w:trPr>
          <w:trHeight w:val="736"/>
        </w:trPr>
        <w:tc>
          <w:tcPr>
            <w:tcW w:w="6120" w:type="dxa"/>
            <w:gridSpan w:val="3"/>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03ED4FE"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457DDB3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085040C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DDAD582" w14:textId="77777777">
        <w:trPr>
          <w:trHeight w:val="406"/>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719711"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BD5E6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361517E3" w14:textId="77777777">
        <w:tc>
          <w:tcPr>
            <w:tcW w:w="934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3D9206" w14:textId="77777777" w:rsidR="003C5B0D" w:rsidRDefault="00C26DAA">
            <w:pPr>
              <w:keepNext/>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lastRenderedPageBreak/>
              <w:t>I</w:t>
            </w:r>
            <w:r>
              <w:rPr>
                <w:rFonts w:ascii="Palatino Linotype" w:eastAsia="Palatino Linotype" w:hAnsi="Palatino Linotype" w:cs="Palatino Linotype"/>
                <w:color w:val="000000"/>
                <w:sz w:val="20"/>
                <w:szCs w:val="20"/>
                <w:shd w:val="clear" w:color="auto" w:fill="FFFFFF"/>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shd w:val="clear" w:color="auto" w:fill="FFFFFF"/>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shd w:val="clear" w:color="auto" w:fill="FFFFFF"/>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l’eventuale “amministratore di fatto” ai sensi dell’articolo 2639 del Codice Civile</w:t>
            </w:r>
          </w:p>
          <w:p w14:paraId="2817DA0E" w14:textId="77777777" w:rsidR="003C5B0D" w:rsidRDefault="00C26DAA">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3C5B0D" w14:paraId="14406CF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62424045"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22A88AF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6E898F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42BFC4A7"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A1B6B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A988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6E9CF3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272D022"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E819A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DE7F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C292B6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7E8795C3"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A7674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271E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848739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45F7B09"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94A3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7F1A4F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C52179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4FDEBEB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FFBBE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1FC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48CC9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2F481D5F" w14:textId="77777777" w:rsidR="003C5B0D" w:rsidRDefault="003C5B0D">
      <w:pPr>
        <w:spacing w:line="276" w:lineRule="auto"/>
        <w:ind w:left="284" w:hanging="284"/>
        <w:jc w:val="both"/>
        <w:rPr>
          <w:rFonts w:ascii="Palatino Linotype" w:eastAsia="Palatino Linotype" w:hAnsi="Palatino Linotype" w:cs="Palatino Linotype"/>
          <w:b/>
          <w:sz w:val="20"/>
          <w:szCs w:val="20"/>
        </w:rPr>
      </w:pPr>
    </w:p>
    <w:p w14:paraId="7C9B8EA3" w14:textId="77777777" w:rsidR="003C5B0D" w:rsidRDefault="00C26DAA">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 xml:space="preserve">Eventuale  (se società in cui il socio unico sia una persona giuridica, spuntare l’opzione che segue) → </w:t>
      </w:r>
    </w:p>
    <w:p w14:paraId="76BC0E34" w14:textId="77777777" w:rsidR="003C5B0D" w:rsidRDefault="00C26DAA">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D.Lgs. n. 36/2023.</w:t>
      </w:r>
    </w:p>
    <w:p w14:paraId="2779DEFF" w14:textId="77777777" w:rsidR="003C5B0D" w:rsidRDefault="003C5B0D">
      <w:pPr>
        <w:spacing w:line="276" w:lineRule="auto"/>
        <w:ind w:left="284" w:hanging="284"/>
        <w:jc w:val="both"/>
        <w:rPr>
          <w:rFonts w:ascii="Palatino Linotype" w:eastAsia="Palatino Linotype" w:hAnsi="Palatino Linotype" w:cs="Palatino Linotype"/>
          <w:sz w:val="20"/>
          <w:szCs w:val="20"/>
        </w:rPr>
      </w:pPr>
    </w:p>
    <w:p w14:paraId="096CAB17" w14:textId="77777777" w:rsidR="003C5B0D" w:rsidRDefault="003C5B0D">
      <w:pPr>
        <w:spacing w:line="276" w:lineRule="auto"/>
        <w:ind w:left="284" w:hanging="284"/>
        <w:jc w:val="center"/>
        <w:rPr>
          <w:rFonts w:ascii="Palatino Linotype" w:eastAsia="Palatino Linotype" w:hAnsi="Palatino Linotype" w:cs="Palatino Linotype"/>
          <w:b/>
        </w:rPr>
      </w:pPr>
    </w:p>
    <w:p w14:paraId="28EC4BA7" w14:textId="77777777" w:rsidR="003C5B0D" w:rsidRDefault="00C26DAA">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0C1F0549"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1D1A7D2A"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C407E37" w14:textId="77777777" w:rsidR="003C5B0D" w:rsidRDefault="00C26DAA">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14:paraId="7136C22B" w14:textId="77777777" w:rsidR="003C5B0D" w:rsidRDefault="003C5B0D">
      <w:pPr>
        <w:spacing w:line="276" w:lineRule="auto"/>
        <w:jc w:val="both"/>
        <w:rPr>
          <w:rFonts w:ascii="Palatino Linotype" w:eastAsia="Palatino Linotype" w:hAnsi="Palatino Linotype" w:cs="Palatino Linotype"/>
          <w:i/>
          <w:sz w:val="16"/>
          <w:szCs w:val="16"/>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50EDFE0"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CC3E2AE"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61DC1F2D" w14:textId="77777777" w:rsidR="003C5B0D" w:rsidRDefault="00C26DAA">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54A4E5C0" w14:textId="77777777" w:rsidR="003C5B0D" w:rsidRDefault="00C26DAA">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  D.Lgs. n. 36/2023)</w:t>
            </w:r>
          </w:p>
        </w:tc>
      </w:tr>
    </w:tbl>
    <w:p w14:paraId="36AF6825" w14:textId="77777777" w:rsidR="003C5B0D" w:rsidRDefault="003C5B0D">
      <w:pPr>
        <w:spacing w:line="276" w:lineRule="auto"/>
        <w:rPr>
          <w:rFonts w:ascii="Palatino Linotype" w:eastAsia="Palatino Linotype" w:hAnsi="Palatino Linotype" w:cs="Palatino Linotype"/>
          <w:b/>
        </w:rPr>
      </w:pPr>
    </w:p>
    <w:p w14:paraId="023B3022"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n. 36/2023, </w:t>
      </w:r>
    </w:p>
    <w:p w14:paraId="33B22FEA" w14:textId="77777777" w:rsidR="003C5B0D" w:rsidRDefault="00C26DAA">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5E4FA40" w14:textId="77777777" w:rsidR="003C5B0D" w:rsidRDefault="003C5B0D">
      <w:pPr>
        <w:spacing w:line="276" w:lineRule="auto"/>
        <w:rPr>
          <w:rFonts w:ascii="Palatino Linotype" w:eastAsia="Palatino Linotype" w:hAnsi="Palatino Linotype" w:cs="Palatino Linotype"/>
          <w:sz w:val="20"/>
          <w:szCs w:val="20"/>
        </w:rPr>
      </w:pPr>
    </w:p>
    <w:p w14:paraId="4C615CB7"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D.Lgs.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2EAECC"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D.Lgs.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Pr>
            <w:rStyle w:val="CollegamentoInternet"/>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history="1">
        <w:r>
          <w:rPr>
            <w:rStyle w:val="CollegamentoInternet"/>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FF4AB89"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non versare in alcuna delle cause di esclusione di cui al comma 5 dell’articolo 94 del D.Lgs. n. 36/2023, laddove applicabili,  cui si rinvia e che si intende qui per ripetuto e trascritto;</w:t>
      </w:r>
    </w:p>
    <w:p w14:paraId="1865A866"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D.Lgs.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n. 36/2023). </w:t>
      </w:r>
      <w:r>
        <w:br w:type="page"/>
      </w:r>
    </w:p>
    <w:p w14:paraId="0EFA0DD3"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9F1170B"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10DCE1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1EA10CAF"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29A86B67"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3D2D0B7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041E6F50"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n. 36/2023)</w:t>
            </w:r>
          </w:p>
        </w:tc>
      </w:tr>
    </w:tbl>
    <w:p w14:paraId="23704707"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561ACE3"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n. 36/2023, </w:t>
      </w:r>
    </w:p>
    <w:p w14:paraId="2F325609"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91B5B61"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n. 36/2023, laddove applicabili, cui si rinvia e che si intende qui per ripetuto e trascritto, anche tenuto conto di quanto disposto all’art. 98 dello stesso D.Lgs. n. 36/2023;</w:t>
      </w:r>
    </w:p>
    <w:p w14:paraId="698D7659"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history="1">
        <w:r>
          <w:rPr>
            <w:rStyle w:val="CollegamentoInternet"/>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021390" w14:textId="77777777" w:rsidR="003C5B0D" w:rsidRDefault="00C26DAA">
      <w:pPr>
        <w:widowControl w:val="0"/>
        <w:spacing w:line="276" w:lineRule="auto"/>
        <w:jc w:val="both"/>
        <w:rPr>
          <w:rFonts w:ascii="Palatino Linotype" w:eastAsia="Palatino Linotype" w:hAnsi="Palatino Linotype" w:cs="Palatino Linotype"/>
          <w:sz w:val="20"/>
          <w:szCs w:val="20"/>
        </w:rPr>
      </w:pPr>
      <w:r>
        <w:br w:type="page"/>
      </w:r>
    </w:p>
    <w:p w14:paraId="31B5765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09EED569"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1989F1B3"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5C0A30C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Self-Cleaning</w:t>
            </w:r>
          </w:p>
          <w:p w14:paraId="0DFEFAF9"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14:paraId="2A7DE467"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n. 36/2023, </w:t>
      </w:r>
    </w:p>
    <w:p w14:paraId="3AB0134B"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FE0EFDA"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35E3C3C"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14:paraId="1139B2ED" w14:textId="77777777" w:rsidR="003C5B0D" w:rsidRDefault="00C26DAA">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D91DB80" w14:textId="77777777" w:rsidR="003C5B0D" w:rsidRDefault="00C26DAA">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0F9EC08E"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p w14:paraId="584DAF39" w14:textId="77777777" w:rsidR="003C5B0D" w:rsidRDefault="003C5B0D">
      <w:pPr>
        <w:spacing w:line="276" w:lineRule="auto"/>
        <w:ind w:left="850"/>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0C88A75"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3747FAEB" w14:textId="77777777" w:rsidR="003C5B0D" w:rsidRDefault="00C26DAA">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F71E1B6" w14:textId="77777777" w:rsidR="003C5B0D" w:rsidRDefault="00C26DAA">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2EECE2E0"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(Art. 100 D.Lgs. n. 36/2023)</w:t>
            </w:r>
          </w:p>
        </w:tc>
      </w:tr>
    </w:tbl>
    <w:p w14:paraId="3874979A" w14:textId="77777777" w:rsidR="003C5B0D" w:rsidRDefault="003C5B0D">
      <w:pPr>
        <w:widowControl w:val="0"/>
        <w:spacing w:line="276" w:lineRule="auto"/>
        <w:jc w:val="both"/>
        <w:rPr>
          <w:rFonts w:ascii="Palatino Linotype" w:eastAsia="Palatino Linotype" w:hAnsi="Palatino Linotype" w:cs="Palatino Linotype"/>
          <w:b/>
          <w:i/>
          <w:color w:val="38761D"/>
          <w:sz w:val="14"/>
          <w:szCs w:val="14"/>
        </w:rPr>
      </w:pPr>
    </w:p>
    <w:p w14:paraId="6BE8B467" w14:textId="77777777" w:rsidR="003C5B0D" w:rsidRDefault="00C26DAA">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n. 36/2023, </w:t>
      </w:r>
    </w:p>
    <w:p w14:paraId="595DBBD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BFD1594"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3731B81E"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971195D"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52E6BCAE"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271"/>
        <w:gridCol w:w="8358"/>
      </w:tblGrid>
      <w:tr w:rsidR="003C5B0D" w14:paraId="7A72A8DE" w14:textId="77777777">
        <w:tc>
          <w:tcPr>
            <w:tcW w:w="1271"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8E14C61"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63C180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3C5B0D" w14:paraId="24F209A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5553F"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40A74"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1D8B23A6"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698C9B"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40BF3"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06DB661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E35DE2"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AB5A"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bl>
    <w:p w14:paraId="29E8B516"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p w14:paraId="5F77C4F6"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0CC0582" w14:textId="77777777" w:rsidR="003C5B0D" w:rsidRDefault="003C5B0D">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705"/>
        <w:gridCol w:w="3687"/>
        <w:gridCol w:w="1272"/>
        <w:gridCol w:w="3970"/>
      </w:tblGrid>
      <w:tr w:rsidR="003C5B0D" w14:paraId="421B5D3B" w14:textId="77777777">
        <w:trPr>
          <w:trHeight w:val="542"/>
        </w:trPr>
        <w:tc>
          <w:tcPr>
            <w:tcW w:w="704"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DFC148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AAC8A1C"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83B32C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218F27B"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3C5B0D" w14:paraId="2109F31A"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2ED486B6"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A40CBA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2D0E5B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30850A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0723E704"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5BFF25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FC15297"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68A5A46"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4B60D29"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373B6C1"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0762478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05E5C3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05360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5F56D6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49916C6"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6E0E2"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DFE9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FDB5E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9770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70ABA580"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0B76B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D6D03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FFB6A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10417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4E44ECDA"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F91FB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20E2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25351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71E40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9AE955D"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453F5604"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9D3A3B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73D135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D1B418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829132F"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9A4F42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836DD5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BD76C9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26E9A7A"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5DE552E"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3AD1DC40"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FB457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05A595C5"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C6F536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bl>
    <w:p w14:paraId="0D768E3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183BB3C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br w:type="page"/>
      </w:r>
    </w:p>
    <w:p w14:paraId="456C5ED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697F228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4D5BF593"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3042BDBD"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BE8D72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0E92C95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B75B8CE" w14:textId="77777777" w:rsidR="003C5B0D" w:rsidRDefault="003C5B0D">
      <w:pPr>
        <w:widowControl w:val="0"/>
        <w:spacing w:line="276" w:lineRule="auto"/>
        <w:jc w:val="both"/>
        <w:rPr>
          <w:rFonts w:ascii="Palatino Linotype" w:eastAsia="Palatino Linotype" w:hAnsi="Palatino Linotype" w:cs="Palatino Linotype"/>
          <w:b/>
          <w:i/>
          <w:color w:val="FF0000"/>
          <w:sz w:val="18"/>
          <w:szCs w:val="18"/>
        </w:rPr>
      </w:pPr>
    </w:p>
    <w:p w14:paraId="3E3F72B4" w14:textId="77777777" w:rsidR="003C5B0D" w:rsidRDefault="00C26DAA">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23204240"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279A6971"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9CBE5DF"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4E3E835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F41669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097B5C"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14:paraId="55CE3D5B"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414AA17"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7CE32FD"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0C86C657" w14:textId="77777777" w:rsidR="003C5B0D" w:rsidRDefault="00C26DAA">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14:paraId="2973B473"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w:t>
      </w:r>
      <w:r>
        <w:rPr>
          <w:rFonts w:ascii="Palatino Linotype" w:eastAsia="Palatino Linotype" w:hAnsi="Palatino Linotype" w:cs="Palatino Linotype"/>
          <w:sz w:val="20"/>
          <w:szCs w:val="20"/>
        </w:rPr>
        <w:lastRenderedPageBreak/>
        <w:t>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56DE662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2D0115B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1DAA245C" w14:textId="77777777" w:rsidR="003C5B0D" w:rsidRDefault="003C5B0D">
      <w:pPr>
        <w:spacing w:before="60" w:after="60" w:line="276" w:lineRule="auto"/>
        <w:jc w:val="center"/>
        <w:rPr>
          <w:rFonts w:ascii="Palatino Linotype" w:eastAsia="Palatino Linotype" w:hAnsi="Palatino Linotype" w:cs="Palatino Linotype"/>
          <w:i/>
          <w:sz w:val="20"/>
          <w:szCs w:val="20"/>
        </w:rPr>
      </w:pPr>
    </w:p>
    <w:p w14:paraId="234196F8" w14:textId="77777777" w:rsidR="003C5B0D" w:rsidRDefault="00C26DAA">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26496EC1" w14:textId="77777777" w:rsidR="003C5B0D" w:rsidRDefault="003C5B0D">
      <w:pPr>
        <w:spacing w:before="40" w:after="40" w:line="276" w:lineRule="auto"/>
        <w:ind w:firstLine="5245"/>
        <w:jc w:val="center"/>
        <w:rPr>
          <w:rFonts w:ascii="Palatino Linotype" w:eastAsia="Palatino Linotype" w:hAnsi="Palatino Linotype" w:cs="Palatino Linotype"/>
          <w:i/>
          <w:sz w:val="20"/>
          <w:szCs w:val="20"/>
        </w:rPr>
      </w:pPr>
    </w:p>
    <w:p w14:paraId="6A2AA09A" w14:textId="77777777" w:rsidR="003C5B0D" w:rsidRDefault="00C26DAA">
      <w:pPr>
        <w:spacing w:before="40" w:after="40" w:line="276" w:lineRule="auto"/>
        <w:jc w:val="center"/>
      </w:pPr>
      <w:r>
        <w:rPr>
          <w:rFonts w:ascii="Palatino Linotype" w:eastAsia="Palatino Linotype" w:hAnsi="Palatino Linotype" w:cs="Palatino Linotype"/>
          <w:i/>
          <w:sz w:val="20"/>
          <w:szCs w:val="20"/>
        </w:rPr>
        <w:t>_____________________________________________________________</w:t>
      </w:r>
    </w:p>
    <w:sectPr w:rsidR="003C5B0D">
      <w:pgSz w:w="11906" w:h="16838"/>
      <w:pgMar w:top="1135" w:right="1133"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C2874"/>
    <w:multiLevelType w:val="multilevel"/>
    <w:tmpl w:val="6192B8F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15:restartNumberingAfterBreak="0">
    <w:nsid w:val="44942535"/>
    <w:multiLevelType w:val="multilevel"/>
    <w:tmpl w:val="154418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99192349">
    <w:abstractNumId w:val="0"/>
  </w:num>
  <w:num w:numId="2" w16cid:durableId="10887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D"/>
    <w:rsid w:val="00001A3B"/>
    <w:rsid w:val="000337D4"/>
    <w:rsid w:val="000A2401"/>
    <w:rsid w:val="000A741A"/>
    <w:rsid w:val="000F3A67"/>
    <w:rsid w:val="00116FCB"/>
    <w:rsid w:val="00122034"/>
    <w:rsid w:val="00184567"/>
    <w:rsid w:val="00224767"/>
    <w:rsid w:val="00313472"/>
    <w:rsid w:val="00376EB3"/>
    <w:rsid w:val="003C5B0D"/>
    <w:rsid w:val="003D7FE0"/>
    <w:rsid w:val="0047667A"/>
    <w:rsid w:val="00487B38"/>
    <w:rsid w:val="004E7FDD"/>
    <w:rsid w:val="00614ACC"/>
    <w:rsid w:val="006F7B9A"/>
    <w:rsid w:val="00786AB1"/>
    <w:rsid w:val="0085343C"/>
    <w:rsid w:val="00885D15"/>
    <w:rsid w:val="00906075"/>
    <w:rsid w:val="009C1FC3"/>
    <w:rsid w:val="00B91FD8"/>
    <w:rsid w:val="00C26DAA"/>
    <w:rsid w:val="00C73F6C"/>
    <w:rsid w:val="00CC669B"/>
    <w:rsid w:val="00E32D00"/>
    <w:rsid w:val="00F52A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95D"/>
  <w15:docId w15:val="{91CA0FB9-F012-4D60-AC69-8208176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pPr>
      <w:suppressAutoHyphens/>
    </w:pPr>
    <w:rPr>
      <w:color w:val="00000A"/>
      <w:sz w:val="24"/>
    </w:rPr>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Symbol"/>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ListLabel1">
    <w:name w:val="ListLabel 1"/>
    <w:qFormat/>
    <w:rPr>
      <w:rFonts w:ascii="Palatino Linotype" w:hAnsi="Palatino Linotype" w:cs="Wingdings"/>
      <w:sz w:val="20"/>
    </w:rPr>
  </w:style>
  <w:style w:type="character" w:customStyle="1" w:styleId="ListLabel2">
    <w:name w:val="ListLabel 2"/>
    <w:qFormat/>
    <w:rPr>
      <w:rFonts w:cs="Wingdings 2"/>
    </w:rPr>
  </w:style>
  <w:style w:type="character" w:customStyle="1" w:styleId="ListLabel3">
    <w:name w:val="ListLabel 3"/>
    <w:qFormat/>
    <w:rPr>
      <w:rFonts w:cs="OpenSymbol"/>
    </w:rPr>
  </w:style>
  <w:style w:type="character" w:customStyle="1" w:styleId="ListLabel4">
    <w:name w:val="ListLabel 4"/>
    <w:qFormat/>
    <w:rPr>
      <w:rFonts w:cs="Wingdings"/>
    </w:rPr>
  </w:style>
  <w:style w:type="character" w:customStyle="1" w:styleId="ListLabel5">
    <w:name w:val="ListLabel 5"/>
    <w:qFormat/>
    <w:rPr>
      <w:rFonts w:cs="Wingdings 2"/>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Wingdings 2"/>
    </w:rPr>
  </w:style>
  <w:style w:type="character" w:customStyle="1" w:styleId="ListLabel9">
    <w:name w:val="ListLabel 9"/>
    <w:qFormat/>
    <w:rPr>
      <w:rFonts w:cs="OpenSymbol"/>
    </w:rPr>
  </w:style>
  <w:style w:type="character" w:customStyle="1" w:styleId="ListLabel10">
    <w:name w:val="ListLabel 10"/>
    <w:qFormat/>
    <w:rPr>
      <w:rFonts w:ascii="Palatino Linotype" w:hAnsi="Palatino Linotype" w:cs="Wingdings"/>
      <w:sz w:val="20"/>
    </w:rPr>
  </w:style>
  <w:style w:type="character" w:customStyle="1" w:styleId="ListLabel11">
    <w:name w:val="ListLabel 11"/>
    <w:qFormat/>
    <w:rPr>
      <w:rFonts w:cs="Wingdings 2"/>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2"/>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Wingdings 2"/>
    </w:rPr>
  </w:style>
  <w:style w:type="character" w:customStyle="1" w:styleId="ListLabel18">
    <w:name w:val="ListLabel 18"/>
    <w:qFormat/>
    <w:rPr>
      <w:rFonts w:cs="OpenSymbol"/>
    </w:rPr>
  </w:style>
  <w:style w:type="paragraph" w:styleId="Titolo">
    <w:name w:val="Title"/>
    <w:basedOn w:val="Normale"/>
    <w:next w:val="Corpotesto"/>
    <w:uiPriority w:val="10"/>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suppressAutoHyphens/>
    </w:pPr>
    <w:rPr>
      <w:color w:val="00000A"/>
      <w:sz w:val="24"/>
    </w:rPr>
  </w:style>
  <w:style w:type="paragraph" w:customStyle="1" w:styleId="Default">
    <w:name w:val="Default"/>
    <w:qFormat/>
    <w:rsid w:val="005C40A4"/>
    <w:pPr>
      <w:suppressAutoHyphens/>
    </w:pPr>
    <w:rPr>
      <w:rFonts w:ascii="Arial" w:hAnsi="Arial" w:cs="Arial"/>
      <w:color w:val="000000"/>
      <w:sz w:val="24"/>
    </w:rPr>
  </w:style>
  <w:style w:type="paragraph" w:styleId="Sottotitolo">
    <w:name w:val="Subtitle"/>
    <w:basedOn w:val="LO-normal"/>
    <w:link w:val="SottotitoloCarattere"/>
    <w:uiPriority w:val="11"/>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suppressAutoHyphens/>
      <w:jc w:val="both"/>
    </w:pPr>
    <w:rPr>
      <w:color w:val="00000A"/>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suppressAutoHyphens/>
      <w:textAlignment w:val="baseline"/>
    </w:pPr>
    <w:rPr>
      <w:rFonts w:ascii="Liberation Serif" w:eastAsia="SimSun" w:hAnsi="Liberation Serif" w:cs="Mangal"/>
      <w:color w:val="00000A"/>
      <w:sz w:val="24"/>
    </w:rPr>
  </w:style>
  <w:style w:type="paragraph" w:customStyle="1" w:styleId="EndnoteSymbol">
    <w:name w:val="Endnote Symbol"/>
    <w:basedOn w:val="Normale"/>
    <w:link w:val="TestonotadichiusuraCarattere"/>
    <w:uiPriority w:val="99"/>
    <w:unhideWhenUsed/>
    <w:qFormat/>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pPr>
      <w:suppressAutoHyphens/>
    </w:pPr>
    <w:rPr>
      <w:color w:val="00000A"/>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suppressAutoHyphens/>
      <w:overflowPunct w:val="0"/>
      <w:jc w:val="right"/>
    </w:pPr>
    <w:rPr>
      <w:color w:val="00000A"/>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forte">
    <w:name w:val="Enfasi forte"/>
    <w:qFormat/>
    <w:rsid w:val="0085343C"/>
    <w:rPr>
      <w:b/>
      <w:bCs/>
    </w:rPr>
  </w:style>
  <w:style w:type="paragraph" w:customStyle="1" w:styleId="provoggetto">
    <w:name w:val="prov_oggetto"/>
    <w:basedOn w:val="Corpotesto"/>
    <w:qFormat/>
    <w:rsid w:val="00122034"/>
    <w:pPr>
      <w:suppressAutoHyphens w:val="0"/>
      <w:jc w:val="left"/>
    </w:pPr>
    <w:rPr>
      <w:rFonts w:ascii="Tahoma" w:hAnsi="Tahoma" w:cs="Times New Roman"/>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2368</Words>
  <Characters>13504</Characters>
  <Application>Microsoft Office Word</Application>
  <DocSecurity>0</DocSecurity>
  <Lines>112</Lines>
  <Paragraphs>31</Paragraphs>
  <ScaleCrop>false</ScaleCrop>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Ciro Satto</cp:lastModifiedBy>
  <cp:revision>28</cp:revision>
  <dcterms:created xsi:type="dcterms:W3CDTF">2023-07-03T11:11:00Z</dcterms:created>
  <dcterms:modified xsi:type="dcterms:W3CDTF">2024-07-10T10:01:00Z</dcterms:modified>
  <dc:language>it-IT</dc:language>
</cp:coreProperties>
</file>