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32698" w14:textId="681B2429" w:rsidR="00722DC9" w:rsidRPr="00722DC9" w:rsidRDefault="00722DC9" w:rsidP="00722DC9">
      <w:pPr>
        <w:keepNext/>
        <w:snapToGrid w:val="0"/>
        <w:spacing w:after="0" w:line="240" w:lineRule="auto"/>
        <w:jc w:val="both"/>
        <w:outlineLvl w:val="1"/>
        <w:rPr>
          <w:rFonts w:ascii="Times New Roman" w:eastAsia="Times New Roman" w:hAnsi="Times New Roman" w:cs="Times New Roman"/>
          <w:b/>
          <w:bCs/>
          <w:color w:val="000000"/>
          <w:kern w:val="0"/>
          <w:sz w:val="24"/>
          <w:szCs w:val="24"/>
          <w:lang w:eastAsia="it-IT"/>
          <w14:ligatures w14:val="none"/>
        </w:rPr>
      </w:pPr>
      <w:r w:rsidRPr="00722DC9">
        <w:rPr>
          <w:rFonts w:ascii="Times New Roman" w:eastAsia="Times New Roman" w:hAnsi="Times New Roman" w:cs="Times New Roman"/>
          <w:b/>
          <w:color w:val="000000"/>
          <w:kern w:val="0"/>
          <w:sz w:val="24"/>
          <w:szCs w:val="24"/>
          <w:lang w:eastAsia="it-IT"/>
          <w14:ligatures w14:val="none"/>
        </w:rPr>
        <w:t xml:space="preserve">Oggetto: PROCEDURA PER </w:t>
      </w:r>
      <w:r w:rsidRPr="0071263E">
        <w:rPr>
          <w:rFonts w:ascii="Times New Roman" w:hAnsi="Times New Roman" w:cs="Times New Roman"/>
          <w:b/>
          <w:bCs/>
          <w:sz w:val="24"/>
          <w:szCs w:val="24"/>
        </w:rPr>
        <w:t>L'AFFIDAMENTO DELLA FORNITURA DI ADDOBBI NATALIZI.</w:t>
      </w:r>
    </w:p>
    <w:p w14:paraId="78CC8B0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59FD93E2" w14:textId="77777777" w:rsidR="00722DC9" w:rsidRPr="00722DC9" w:rsidRDefault="00722DC9" w:rsidP="00722DC9">
      <w:pPr>
        <w:keepNext/>
        <w:snapToGrid w:val="0"/>
        <w:spacing w:after="0" w:line="240" w:lineRule="auto"/>
        <w:jc w:val="center"/>
        <w:outlineLvl w:val="1"/>
        <w:rPr>
          <w:rFonts w:ascii="Times New Roman" w:eastAsia="Times New Roman" w:hAnsi="Times New Roman" w:cs="Times New Roman"/>
          <w:b/>
          <w:i/>
          <w:color w:val="000000"/>
          <w:kern w:val="0"/>
          <w:sz w:val="24"/>
          <w:szCs w:val="24"/>
          <w:lang w:eastAsia="it-IT"/>
          <w14:ligatures w14:val="none"/>
        </w:rPr>
      </w:pPr>
      <w:r w:rsidRPr="00722DC9">
        <w:rPr>
          <w:rFonts w:ascii="Times New Roman" w:eastAsia="Times New Roman" w:hAnsi="Times New Roman" w:cs="Times New Roman"/>
          <w:b/>
          <w:color w:val="000000"/>
          <w:kern w:val="0"/>
          <w:sz w:val="24"/>
          <w:szCs w:val="24"/>
          <w:lang w:eastAsia="it-IT"/>
          <w14:ligatures w14:val="none"/>
        </w:rPr>
        <w:t>Il Responsabile del Procedimento</w:t>
      </w:r>
    </w:p>
    <w:p w14:paraId="701F1BF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47FDA65" w14:textId="42E8BD1F" w:rsidR="00722DC9" w:rsidRPr="00722DC9"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Vista la necessità di provvedere all</w:t>
      </w:r>
      <w:r w:rsidR="00C81580" w:rsidRPr="0071263E">
        <w:rPr>
          <w:rFonts w:ascii="Times New Roman" w:eastAsia="Times New Roman" w:hAnsi="Times New Roman" w:cs="Times New Roman"/>
          <w:kern w:val="0"/>
          <w:sz w:val="24"/>
          <w:szCs w:val="24"/>
          <w:lang w:eastAsia="it-IT"/>
          <w14:ligatures w14:val="none"/>
        </w:rPr>
        <w:t>’</w:t>
      </w:r>
      <w:r w:rsidRPr="00722DC9">
        <w:rPr>
          <w:rFonts w:ascii="Times New Roman" w:eastAsia="Times New Roman" w:hAnsi="Times New Roman" w:cs="Times New Roman"/>
          <w:kern w:val="0"/>
          <w:sz w:val="24"/>
          <w:szCs w:val="24"/>
          <w:lang w:eastAsia="it-IT"/>
          <w14:ligatures w14:val="none"/>
        </w:rPr>
        <w:t>affidamento ;</w:t>
      </w:r>
    </w:p>
    <w:p w14:paraId="67EA399E" w14:textId="77777777" w:rsidR="00722DC9" w:rsidRPr="00722DC9"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p>
    <w:p w14:paraId="1FB15604" w14:textId="77777777" w:rsidR="00722DC9" w:rsidRPr="00722DC9"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Richiamata la Determina a contrarre n. --- del ---------, con la quale sono state definite le modalità di affidamento del servizio, da svolgersi tramite affidamento diretto sul portale telematico della Regione Toscana S.T.A.R.T, ai sensi dell’art. 50, comma 1, lett. b), del D.Lgs. n. 36/23 e nel contempo sono stati approvati gli atti di gara;</w:t>
      </w:r>
    </w:p>
    <w:p w14:paraId="713D955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2972C28" w14:textId="5787941B"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Dovendo individuare l’operatore economico specializzato nel settore, con la presente si richiede la presentazione di un’offerta per la fornitura </w:t>
      </w:r>
      <w:r w:rsidR="00C81580" w:rsidRPr="0071263E">
        <w:rPr>
          <w:rFonts w:ascii="Times New Roman" w:eastAsia="Times New Roman" w:hAnsi="Times New Roman" w:cs="Times New Roman"/>
          <w:kern w:val="0"/>
          <w:sz w:val="24"/>
          <w:szCs w:val="24"/>
          <w:lang w:eastAsia="it-IT"/>
          <w14:ligatures w14:val="none"/>
        </w:rPr>
        <w:t>DI ADDOBBI NATALIZI</w:t>
      </w:r>
      <w:r w:rsidRPr="00722DC9">
        <w:rPr>
          <w:rFonts w:ascii="Times New Roman" w:eastAsia="Times New Roman" w:hAnsi="Times New Roman" w:cs="Times New Roman"/>
          <w:kern w:val="0"/>
          <w:sz w:val="24"/>
          <w:szCs w:val="24"/>
          <w:lang w:eastAsia="it-IT"/>
          <w14:ligatures w14:val="none"/>
        </w:rPr>
        <w:t>, come da caratteristiche indicate nel punto 4. della presente Lettera di Invito.</w:t>
      </w:r>
    </w:p>
    <w:p w14:paraId="5C85D69E"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15874E4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w:t>
      </w:r>
    </w:p>
    <w:p w14:paraId="02D3D73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consultare la documentazione di gara e presentare relativa offerta, l’operatore deve accedere al sistema telematico della Regione Toscana START con la propria username e password scelte al momento della registrazione e seguire le indicazioni sotto riportate.</w:t>
      </w:r>
    </w:p>
    <w:p w14:paraId="13F2FF8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C42265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L’affidamento è disciplinato dalla presente lettera d’invito a presentare offerta e dalle “Norme tecniche di funzionamento del Sistema Telematico di Acquisto di Regione Toscana – Consiglio Regionale – Start” approvate con decreto dirigenziale n. 3631 del 06/08/2015 e consultabili all’indirizzo internet: </w:t>
      </w:r>
      <w:r w:rsidRPr="00722DC9">
        <w:rPr>
          <w:rFonts w:ascii="Times New Roman" w:eastAsia="Times New Roman" w:hAnsi="Times New Roman" w:cs="Times New Roman"/>
          <w:color w:val="0000FF"/>
          <w:kern w:val="0"/>
          <w:sz w:val="24"/>
          <w:szCs w:val="24"/>
          <w:lang w:eastAsia="it-IT"/>
          <w14:ligatures w14:val="none"/>
        </w:rPr>
        <w:t>https://start.toscana.it</w:t>
      </w:r>
    </w:p>
    <w:p w14:paraId="40C54326"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AADF28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titolare o legale rappresentante o procuratore dell’operatore economico invitato, a presentare</w:t>
      </w:r>
      <w:r w:rsidRPr="00722DC9">
        <w:rPr>
          <w:rFonts w:ascii="Times New Roman" w:eastAsia="Times New Roman" w:hAnsi="Times New Roman" w:cs="Times New Roman"/>
          <w:spacing w:val="39"/>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offerta </w:t>
      </w:r>
      <w:r w:rsidRPr="00722DC9">
        <w:rPr>
          <w:rFonts w:ascii="Times New Roman" w:eastAsia="Times New Roman" w:hAnsi="Times New Roman" w:cs="Times New Roman"/>
          <w:b/>
          <w:kern w:val="0"/>
          <w:sz w:val="24"/>
          <w:szCs w:val="24"/>
          <w:lang w:eastAsia="it-IT"/>
          <w14:ligatures w14:val="none"/>
        </w:rPr>
        <w:t xml:space="preserve">dovrà </w:t>
      </w:r>
      <w:r w:rsidRPr="00722DC9">
        <w:rPr>
          <w:rFonts w:ascii="Times New Roman" w:eastAsia="Times New Roman" w:hAnsi="Times New Roman" w:cs="Times New Roman"/>
          <w:kern w:val="0"/>
          <w:sz w:val="24"/>
          <w:szCs w:val="24"/>
          <w:lang w:eastAsia="it-IT"/>
          <w14:ligatures w14:val="none"/>
        </w:rPr>
        <w:t xml:space="preserve">essere in possesso di un </w:t>
      </w:r>
      <w:r w:rsidRPr="00722DC9">
        <w:rPr>
          <w:rFonts w:ascii="Times New Roman" w:eastAsia="Times New Roman" w:hAnsi="Times New Roman" w:cs="Times New Roman"/>
          <w:b/>
          <w:kern w:val="0"/>
          <w:sz w:val="24"/>
          <w:szCs w:val="24"/>
          <w:lang w:eastAsia="it-IT"/>
          <w14:ligatures w14:val="none"/>
        </w:rPr>
        <w:t xml:space="preserve">certificato di firma digitale </w:t>
      </w:r>
      <w:r w:rsidRPr="00722DC9">
        <w:rPr>
          <w:rFonts w:ascii="Times New Roman" w:eastAsia="Times New Roman" w:hAnsi="Times New Roman" w:cs="Times New Roman"/>
          <w:kern w:val="0"/>
          <w:sz w:val="24"/>
          <w:szCs w:val="24"/>
          <w:lang w:eastAsia="it-IT"/>
          <w14:ligatures w14:val="none"/>
        </w:rPr>
        <w:t>in corso di validità rilasciato da</w:t>
      </w:r>
      <w:r w:rsidRPr="00722DC9">
        <w:rPr>
          <w:rFonts w:ascii="Times New Roman" w:eastAsia="Times New Roman" w:hAnsi="Times New Roman" w:cs="Times New Roman"/>
          <w:spacing w:val="-20"/>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un organismo incluso nell’elenco pubblico dei certificatori tenuto da DigitPA, secondo quanto previsto dal Codice dell’Amministrazione Digitale (art. 29 c.1) e specificato dal DPCM 30 marzo 2009, nonché del relativo </w:t>
      </w:r>
      <w:r w:rsidRPr="00722DC9">
        <w:rPr>
          <w:rFonts w:ascii="Times New Roman" w:eastAsia="Times New Roman" w:hAnsi="Times New Roman" w:cs="Times New Roman"/>
          <w:b/>
          <w:kern w:val="0"/>
          <w:sz w:val="24"/>
          <w:szCs w:val="24"/>
          <w:lang w:eastAsia="it-IT"/>
          <w14:ligatures w14:val="none"/>
        </w:rPr>
        <w:t xml:space="preserve">software </w:t>
      </w:r>
      <w:r w:rsidRPr="00722DC9">
        <w:rPr>
          <w:rFonts w:ascii="Times New Roman" w:eastAsia="Times New Roman" w:hAnsi="Times New Roman" w:cs="Times New Roman"/>
          <w:kern w:val="0"/>
          <w:sz w:val="24"/>
          <w:szCs w:val="24"/>
          <w:lang w:eastAsia="it-IT"/>
          <w14:ligatures w14:val="none"/>
        </w:rPr>
        <w:t>per la visualizzazione e la firma di documenti digitali.</w:t>
      </w:r>
    </w:p>
    <w:p w14:paraId="2E3E0A3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Le dichiarazioni rese e la documentazione prodotta verranno considerate come carenti di sottoscrizione qualora siano sottoscritte con certificati di firma digitale rilasciati da organismi non inclusi nell’elenco pubblico dei certificatori tenuto da</w:t>
      </w:r>
      <w:r w:rsidRPr="00722DC9">
        <w:rPr>
          <w:rFonts w:ascii="Times New Roman" w:eastAsia="Times New Roman" w:hAnsi="Times New Roman" w:cs="Times New Roman"/>
          <w:spacing w:val="-8"/>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DigitPA.</w:t>
      </w:r>
    </w:p>
    <w:p w14:paraId="1D1A023F" w14:textId="77777777" w:rsidR="00722DC9" w:rsidRPr="00722DC9" w:rsidRDefault="00722DC9" w:rsidP="00722DC9">
      <w:pPr>
        <w:keepNext/>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p>
    <w:p w14:paraId="09D4FBD0" w14:textId="77777777" w:rsidR="00722DC9" w:rsidRPr="00722DC9" w:rsidRDefault="00722DC9" w:rsidP="00722DC9">
      <w:pPr>
        <w:keepNext/>
        <w:tabs>
          <w:tab w:val="left" w:pos="3802"/>
        </w:tabs>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ab/>
      </w:r>
    </w:p>
    <w:p w14:paraId="4ACD14A2" w14:textId="77777777" w:rsidR="00722DC9" w:rsidRPr="00722DC9" w:rsidRDefault="00722DC9" w:rsidP="00722DC9">
      <w:pPr>
        <w:keepNext/>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1 – CONDIZIONI E REQUISITI DI PARTECIPAZIONE</w:t>
      </w:r>
    </w:p>
    <w:p w14:paraId="389D5BED"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non deve incorrere in alcuna delle condizioni di cui all’art. 94 del D.Lgs. n. 36/2023.</w:t>
      </w:r>
    </w:p>
    <w:p w14:paraId="07DC5B1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B9FE3A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partecipazione alla procedura è rivolta ai soggetti invitati dall’Amministrazione, che devono essere in possesso dei seguenti requisiti, da dichiarare mediante l’Allegato 1, affinché si possa anche garantire la scelta di soggetti in possesso di documentate esperienze pregresse idonee all’esecuzione delle prestazioni contrattuali:</w:t>
      </w:r>
    </w:p>
    <w:p w14:paraId="2FECD356"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Possesso dei requisiti di ordine generale di cui agli artt. 94, 95, 96, 97 e 98 del D.lgs. n. 36/2023. L’operatore economico dovrà attestare il possesso dei requisiti di cui agli art. 94, 95, 96, 97 e 98 del D.lgs. n. 36/2023, mediante Allegato 1;</w:t>
      </w:r>
    </w:p>
    <w:p w14:paraId="2B744C08"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Possesso dei seguenti requisiti di idoneità professionale: </w:t>
      </w:r>
    </w:p>
    <w:p w14:paraId="279594D1"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alla Camera di Commercio, Industria, Artigianato e Agricoltura per attività corrispondente a quella di contratto.</w:t>
      </w:r>
    </w:p>
    <w:p w14:paraId="307ADB76"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 sistema telematico della Regione Toscana START.</w:t>
      </w:r>
    </w:p>
    <w:p w14:paraId="744206E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lastRenderedPageBreak/>
        <w:t>Sono comunque esclusi dalla partecipazione alla presente procedura gli operatori economici che abbiano affidato incarichi in violazione dell’art. 53, comma 16-ter, del D.Lgs. n. 165/2001.</w:t>
      </w:r>
    </w:p>
    <w:p w14:paraId="24106966"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4A823A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partecipazione alle procedure di scelta del contraente svolte telematicamente è aperta, previa identificazione, a tutti gli operatori economici interessati, in possesso dei requisiti richiesti dalla singola procedura di gara.</w:t>
      </w:r>
    </w:p>
    <w:p w14:paraId="616BAC7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poter operare sul sistema gli Utenti dovranno essere dotati della necessaria strumentazione.</w:t>
      </w:r>
    </w:p>
    <w:p w14:paraId="7AC3DD9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4718E8EF"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Comunicazioni dell’amministrazione</w:t>
      </w:r>
    </w:p>
    <w:p w14:paraId="21ACF51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Tutte le comunicazioni nell’ambito della presente procedura,</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avvengono tramite il sistema telematico e si danno per eseguite con la pubblicazione delle stesse nell’area “Comunicazioni” relativa alla procedura riservata al concorrente e accessibile previa identificazione da parte dello stesso al sistema Start. Le comunicazioni sono altresì inviate alla casella di posta elettronica o posta certificata indicata dal concorrente ai fini della procedura telematica d’acquisto. L’operatore economico si impegna a comunicare eventuali cambiamenti di indirizzo di posta elettronica. In assenza di tale comunicazione l’Amministrazione e il Gestore non sono responsabili per l’avvenuta mancanza di comunicazione.</w:t>
      </w:r>
    </w:p>
    <w:p w14:paraId="0342314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la consultazione delle comunicazioni l’operatore economico deve:</w:t>
      </w:r>
    </w:p>
    <w:p w14:paraId="1D69D2DB"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Accedere all'area riservata del sistema tramite le proprie credenziali (userid e</w:t>
      </w:r>
      <w:r w:rsidRPr="00722DC9">
        <w:rPr>
          <w:rFonts w:ascii="Times New Roman" w:eastAsia="Calibri" w:hAnsi="Times New Roman" w:cs="Times New Roman"/>
          <w:color w:val="000000"/>
          <w:spacing w:val="-11"/>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password)</w:t>
      </w:r>
    </w:p>
    <w:p w14:paraId="7FCACF68"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la presente</w:t>
      </w:r>
      <w:r w:rsidRPr="00722DC9">
        <w:rPr>
          <w:rFonts w:ascii="Times New Roman" w:eastAsia="Calibri" w:hAnsi="Times New Roman" w:cs="Times New Roman"/>
          <w:color w:val="000000"/>
          <w:spacing w:val="-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procedura;</w:t>
      </w:r>
    </w:p>
    <w:p w14:paraId="2283D44D"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"comunicazioni ricevute" tra le voci di menu previste dal</w:t>
      </w:r>
      <w:r w:rsidRPr="00722DC9">
        <w:rPr>
          <w:rFonts w:ascii="Times New Roman" w:eastAsia="Calibri" w:hAnsi="Times New Roman" w:cs="Times New Roman"/>
          <w:color w:val="000000"/>
          <w:spacing w:val="-1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sistema;</w:t>
      </w:r>
    </w:p>
    <w:p w14:paraId="367449D7"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Richiesta di chiarimenti da parte dell’operatore economico</w:t>
      </w:r>
    </w:p>
    <w:p w14:paraId="26419BF7"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Le eventuali </w:t>
      </w:r>
      <w:r w:rsidRPr="00722DC9">
        <w:rPr>
          <w:rFonts w:ascii="Times New Roman" w:eastAsia="Times New Roman" w:hAnsi="Times New Roman" w:cs="Times New Roman"/>
          <w:b/>
          <w:kern w:val="0"/>
          <w:sz w:val="24"/>
          <w:szCs w:val="24"/>
          <w:lang w:eastAsia="it-IT"/>
          <w14:ligatures w14:val="none"/>
        </w:rPr>
        <w:t xml:space="preserve">richieste di chiarimenti </w:t>
      </w:r>
      <w:r w:rsidRPr="00722DC9">
        <w:rPr>
          <w:rFonts w:ascii="Times New Roman" w:eastAsia="Times New Roman" w:hAnsi="Times New Roman" w:cs="Times New Roman"/>
          <w:kern w:val="0"/>
          <w:sz w:val="24"/>
          <w:szCs w:val="24"/>
          <w:lang w:eastAsia="it-IT"/>
          <w14:ligatures w14:val="none"/>
        </w:rPr>
        <w:t xml:space="preserve">relative alla procedura in oggetto, dovranno essere formulate attraverso l’apposita sezione </w:t>
      </w:r>
      <w:r w:rsidRPr="00722DC9">
        <w:rPr>
          <w:rFonts w:ascii="Times New Roman" w:eastAsia="Times New Roman" w:hAnsi="Times New Roman" w:cs="Times New Roman"/>
          <w:b/>
          <w:kern w:val="0"/>
          <w:sz w:val="24"/>
          <w:szCs w:val="24"/>
          <w:lang w:eastAsia="it-IT"/>
          <w14:ligatures w14:val="none"/>
        </w:rPr>
        <w:t>“richiesta chiarimenti</w:t>
      </w:r>
      <w:r w:rsidRPr="00722DC9">
        <w:rPr>
          <w:rFonts w:ascii="Times New Roman" w:eastAsia="Times New Roman" w:hAnsi="Times New Roman" w:cs="Times New Roman"/>
          <w:kern w:val="0"/>
          <w:sz w:val="24"/>
          <w:szCs w:val="24"/>
          <w:lang w:eastAsia="it-IT"/>
          <w14:ligatures w14:val="none"/>
        </w:rPr>
        <w:t>”, nella pagina di dettaglio della presente procedura.</w:t>
      </w:r>
    </w:p>
    <w:p w14:paraId="3E092AEC"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 xml:space="preserve">Le risposte ai chiarimenti </w:t>
      </w:r>
      <w:r w:rsidRPr="00722DC9">
        <w:rPr>
          <w:rFonts w:ascii="Times New Roman" w:eastAsia="Times New Roman" w:hAnsi="Times New Roman" w:cs="Times New Roman"/>
          <w:kern w:val="0"/>
          <w:sz w:val="24"/>
          <w:szCs w:val="24"/>
          <w:lang w:eastAsia="it-IT"/>
          <w14:ligatures w14:val="none"/>
        </w:rPr>
        <w:t xml:space="preserve">formulati da parte dell’operatore economico vengono pubblicate sul Sito nella sezione “Comunicazioni dell’Amministrazione” posta all’interno della pagina di dettaglio della procedura, all’indirizzo: </w:t>
      </w:r>
      <w:r w:rsidRPr="00722DC9">
        <w:rPr>
          <w:rFonts w:ascii="Times New Roman" w:eastAsia="Times New Roman" w:hAnsi="Times New Roman" w:cs="Times New Roman"/>
          <w:color w:val="0000FF"/>
          <w:kern w:val="0"/>
          <w:sz w:val="24"/>
          <w:szCs w:val="24"/>
          <w:lang w:eastAsia="it-IT"/>
          <w14:ligatures w14:val="none"/>
        </w:rPr>
        <w:t>https://start.toscana.it</w:t>
      </w:r>
    </w:p>
    <w:p w14:paraId="00C0718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D13BE9"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2 – MODALITA’ DI PRESENTAZIONE DELLE OFFERTE</w:t>
      </w:r>
    </w:p>
    <w:p w14:paraId="02F445F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02DF95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invitato, in possesso dei requisiti indicati al precedente paragrafo 1), che intende inviare un preventivo con offerta, dovrà rispondere con le modalità di seguito indicate.</w:t>
      </w:r>
    </w:p>
    <w:p w14:paraId="2EC25C5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5C4958"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Dopo l’identificazione, l’operatore economico per presentare offerta, dovrà inserire nel sistema telematico, nello spazio relativo alla procedura di cui trattasi, </w:t>
      </w:r>
      <w:r w:rsidRPr="00722DC9">
        <w:rPr>
          <w:rFonts w:ascii="Times New Roman" w:eastAsia="Times New Roman" w:hAnsi="Times New Roman" w:cs="Times New Roman"/>
          <w:b/>
          <w:kern w:val="0"/>
          <w:sz w:val="24"/>
          <w:szCs w:val="24"/>
          <w:u w:val="thick"/>
          <w:lang w:eastAsia="it-IT"/>
          <w14:ligatures w14:val="none"/>
        </w:rPr>
        <w:t>entro e non oltre il termine perentorio</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b/>
          <w:kern w:val="0"/>
          <w:sz w:val="24"/>
          <w:szCs w:val="24"/>
          <w:u w:val="thick"/>
          <w:lang w:eastAsia="it-IT"/>
          <w14:ligatures w14:val="none"/>
        </w:rPr>
        <w:t>delle ore --------- del giorno --.--.2023</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la documentazione richiesta firmata digitalmente. </w:t>
      </w:r>
    </w:p>
    <w:p w14:paraId="7C769E77"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p>
    <w:p w14:paraId="6DAA31D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documentazione richiesta dal presente documento prima di essere firmata digitalmente deve essere convertita in formato</w:t>
      </w:r>
      <w:r w:rsidRPr="00722DC9">
        <w:rPr>
          <w:rFonts w:ascii="Times New Roman" w:eastAsia="Times New Roman" w:hAnsi="Times New Roman" w:cs="Times New Roman"/>
          <w:spacing w:val="-7"/>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PDF.</w:t>
      </w:r>
    </w:p>
    <w:p w14:paraId="3546F3A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DFD17F7"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A"/>
          <w:kern w:val="0"/>
          <w:sz w:val="24"/>
          <w:szCs w:val="24"/>
          <w:lang w:eastAsia="hi-IN" w:bidi="it-IT"/>
          <w14:ligatures w14:val="none"/>
        </w:rPr>
      </w:pPr>
      <w:r w:rsidRPr="00722DC9">
        <w:rPr>
          <w:rFonts w:ascii="Times New Roman" w:eastAsia="Arial" w:hAnsi="Times New Roman" w:cs="Times New Roman"/>
          <w:b/>
          <w:bCs/>
          <w:color w:val="00000A"/>
          <w:kern w:val="0"/>
          <w:sz w:val="24"/>
          <w:szCs w:val="24"/>
          <w:u w:val="thick"/>
          <w:lang w:eastAsia="hi-IN" w:bidi="it-IT"/>
          <w14:ligatures w14:val="none"/>
        </w:rPr>
        <w:t>ATTENZIONE: il sistema telematico non permette di completare le operazioni di presentazione</w:t>
      </w:r>
      <w:r w:rsidRPr="00722DC9">
        <w:rPr>
          <w:rFonts w:ascii="Times New Roman" w:eastAsia="Arial" w:hAnsi="Times New Roman" w:cs="Times New Roman"/>
          <w:b/>
          <w:bCs/>
          <w:color w:val="00000A"/>
          <w:kern w:val="0"/>
          <w:sz w:val="24"/>
          <w:szCs w:val="24"/>
          <w:lang w:eastAsia="hi-IN" w:bidi="it-IT"/>
          <w14:ligatures w14:val="none"/>
        </w:rPr>
        <w:t xml:space="preserve"> </w:t>
      </w:r>
      <w:r w:rsidRPr="00722DC9">
        <w:rPr>
          <w:rFonts w:ascii="Times New Roman" w:eastAsia="Arial" w:hAnsi="Times New Roman" w:cs="Times New Roman"/>
          <w:b/>
          <w:bCs/>
          <w:color w:val="00000A"/>
          <w:kern w:val="0"/>
          <w:sz w:val="24"/>
          <w:szCs w:val="24"/>
          <w:u w:val="thick"/>
          <w:lang w:eastAsia="hi-IN" w:bidi="it-IT"/>
          <w14:ligatures w14:val="none"/>
        </w:rPr>
        <w:t>di una offerta dopo tale termine perentorio.</w:t>
      </w:r>
    </w:p>
    <w:p w14:paraId="718D4C9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4BF8854" w14:textId="77777777" w:rsidR="00722DC9" w:rsidRPr="00722DC9" w:rsidRDefault="00722DC9" w:rsidP="00722DC9">
      <w:pPr>
        <w:widowControl w:val="0"/>
        <w:suppressAutoHyphens/>
        <w:spacing w:after="0" w:line="240" w:lineRule="auto"/>
        <w:ind w:left="108" w:firstLine="104"/>
        <w:jc w:val="both"/>
        <w:outlineLvl w:val="1"/>
        <w:rPr>
          <w:rFonts w:ascii="Times New Roman" w:eastAsia="Arial" w:hAnsi="Times New Roman" w:cs="Times New Roman"/>
          <w:b/>
          <w:bCs/>
          <w:color w:val="00000A"/>
          <w:kern w:val="0"/>
          <w:sz w:val="24"/>
          <w:szCs w:val="24"/>
          <w:lang w:eastAsia="hi-IN" w:bidi="it-IT"/>
          <w14:ligatures w14:val="none"/>
        </w:rPr>
      </w:pPr>
    </w:p>
    <w:p w14:paraId="52DDF221"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r w:rsidRPr="00722DC9">
        <w:rPr>
          <w:rFonts w:ascii="Times New Roman" w:eastAsia="Arial" w:hAnsi="Times New Roman" w:cs="Times New Roman"/>
          <w:b/>
          <w:bCs/>
          <w:color w:val="000000"/>
          <w:kern w:val="0"/>
          <w:sz w:val="24"/>
          <w:szCs w:val="24"/>
          <w:lang w:eastAsia="hi-IN" w:bidi="it-IT"/>
          <w14:ligatures w14:val="none"/>
        </w:rPr>
        <w:t>OFFERTA ECONOMICA</w:t>
      </w:r>
    </w:p>
    <w:p w14:paraId="279EC03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L’offerta economica è determinata dal prezzo complessivo, che l’operatore economico offre per eseguire le prestazioni oggetto del presente procedimento. </w:t>
      </w:r>
    </w:p>
    <w:p w14:paraId="1041E5B7" w14:textId="77777777" w:rsidR="00722DC9" w:rsidRPr="00722DC9" w:rsidRDefault="00722DC9" w:rsidP="00722DC9">
      <w:pPr>
        <w:spacing w:after="0" w:line="240" w:lineRule="auto"/>
        <w:ind w:left="212"/>
        <w:jc w:val="both"/>
        <w:rPr>
          <w:rFonts w:ascii="Times New Roman" w:eastAsia="Times New Roman" w:hAnsi="Times New Roman" w:cs="Times New Roman"/>
          <w:kern w:val="0"/>
          <w:sz w:val="24"/>
          <w:szCs w:val="24"/>
          <w:lang w:eastAsia="it-IT"/>
          <w14:ligatures w14:val="none"/>
        </w:rPr>
      </w:pPr>
    </w:p>
    <w:p w14:paraId="4B16532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Per presentare l’offerta economica espressa l’operatore dovrà:</w:t>
      </w:r>
    </w:p>
    <w:p w14:paraId="327FF4ED"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Accedere </w:t>
      </w:r>
      <w:r w:rsidRPr="00722DC9">
        <w:rPr>
          <w:rFonts w:ascii="Times New Roman" w:eastAsia="SimSun" w:hAnsi="Times New Roman" w:cs="Times New Roman"/>
          <w:color w:val="00000A"/>
          <w:kern w:val="0"/>
          <w:sz w:val="24"/>
          <w:szCs w:val="24"/>
          <w:lang w:eastAsia="zh-CN" w:bidi="hi-IN"/>
          <w14:ligatures w14:val="none"/>
        </w:rPr>
        <w:t>allo spazio dedicato alla gara sul sistema telematico;</w:t>
      </w:r>
    </w:p>
    <w:p w14:paraId="71E3FD10"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Compilare </w:t>
      </w:r>
      <w:r w:rsidRPr="00722DC9">
        <w:rPr>
          <w:rFonts w:ascii="Times New Roman" w:eastAsia="SimSun" w:hAnsi="Times New Roman" w:cs="Times New Roman"/>
          <w:color w:val="00000A"/>
          <w:kern w:val="0"/>
          <w:sz w:val="24"/>
          <w:szCs w:val="24"/>
          <w:lang w:eastAsia="zh-CN" w:bidi="hi-IN"/>
          <w14:ligatures w14:val="none"/>
        </w:rPr>
        <w:t>il form on line al passo 3 “presenta offerta”</w:t>
      </w:r>
    </w:p>
    <w:p w14:paraId="52704E44"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b/>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lastRenderedPageBreak/>
        <w:t xml:space="preserve">Scaricare </w:t>
      </w:r>
      <w:r w:rsidRPr="00722DC9">
        <w:rPr>
          <w:rFonts w:ascii="Times New Roman" w:eastAsia="SimSun" w:hAnsi="Times New Roman" w:cs="Times New Roman"/>
          <w:color w:val="00000A"/>
          <w:kern w:val="0"/>
          <w:sz w:val="24"/>
          <w:szCs w:val="24"/>
          <w:lang w:eastAsia="zh-CN" w:bidi="hi-IN"/>
          <w14:ligatures w14:val="none"/>
        </w:rPr>
        <w:t>sul proprio pc il documento “offerta economica” generato dal sistema;</w:t>
      </w:r>
    </w:p>
    <w:p w14:paraId="39775F7E"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Firmare digitalmente </w:t>
      </w:r>
      <w:r w:rsidRPr="00722DC9">
        <w:rPr>
          <w:rFonts w:ascii="Times New Roman" w:eastAsia="SimSun" w:hAnsi="Times New Roman" w:cs="Times New Roman"/>
          <w:color w:val="00000A"/>
          <w:kern w:val="0"/>
          <w:sz w:val="24"/>
          <w:szCs w:val="24"/>
          <w:lang w:eastAsia="zh-CN" w:bidi="hi-IN"/>
          <w14:ligatures w14:val="none"/>
        </w:rPr>
        <w:t>il documento “offerta economica” generato dal sistema, senza apporre ulteriori modifiche, da parte del titolare o legale rappresentante o procuratore dell’operatore economico;</w:t>
      </w:r>
    </w:p>
    <w:p w14:paraId="339747FB"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Inserire</w:t>
      </w:r>
      <w:r w:rsidRPr="00722DC9">
        <w:rPr>
          <w:rFonts w:ascii="Times New Roman" w:eastAsia="SimSun" w:hAnsi="Times New Roman" w:cs="Times New Roman"/>
          <w:b/>
          <w:bCs/>
          <w:color w:val="00000A"/>
          <w:kern w:val="0"/>
          <w:sz w:val="24"/>
          <w:szCs w:val="24"/>
          <w:lang w:eastAsia="zh-CN" w:bidi="hi-IN"/>
          <w14:ligatures w14:val="none"/>
        </w:rPr>
        <w:t xml:space="preserve"> </w:t>
      </w:r>
      <w:r w:rsidRPr="00722DC9">
        <w:rPr>
          <w:rFonts w:ascii="Times New Roman" w:eastAsia="SimSun" w:hAnsi="Times New Roman" w:cs="Times New Roman"/>
          <w:color w:val="00000A"/>
          <w:kern w:val="0"/>
          <w:sz w:val="24"/>
          <w:szCs w:val="24"/>
          <w:lang w:eastAsia="zh-CN" w:bidi="hi-IN"/>
          <w14:ligatures w14:val="none"/>
        </w:rPr>
        <w:t>nel sistema il documento “offerta economica” firmato digitalmente nell’apposito spazio previsto.</w:t>
      </w:r>
    </w:p>
    <w:p w14:paraId="4DB12E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153537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Ai sensi dell’art. 17 del D.Lgs. n. 36/2023 l’offerta dell’affidatario è irrevocabile fino al termine stabilito per la stipula del contratto.</w:t>
      </w:r>
    </w:p>
    <w:p w14:paraId="14B64604"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p>
    <w:p w14:paraId="2FA8C100"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DOMANDA E DICHIARAZIONI PER LA PARTECIPAZIONE</w:t>
      </w:r>
    </w:p>
    <w:p w14:paraId="7800E3A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552A88E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documento richiesto sottoscritto con firma digitale del titolare o legale rappresentante e dovrà essere inserita nell’apposito spazio predisposto sul sistema telematico. Dovrà altresì essere allegata la dichiarazione ai sensi dell’Art.3 della Legge 13 agosto 2010 n.136 “Normativa in materia di tracciabilità dei flussi finanziari”.</w:t>
      </w:r>
    </w:p>
    <w:p w14:paraId="5BD232D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9F491A2"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3 – CONCLUSIONE E STIPULA DEL CONTRATTO</w:t>
      </w:r>
    </w:p>
    <w:p w14:paraId="2683CA8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8FE1668"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L’Amministrazione procederà all’affidamento dei servizi a seguito verifica possesso dei requisiti generali di cui all’art. 94 del D.Lgs.</w:t>
      </w:r>
      <w:r w:rsidRPr="00722DC9">
        <w:rPr>
          <w:rFonts w:ascii="Times New Roman" w:eastAsia="Times New Roman" w:hAnsi="Times New Roman" w:cs="Times New Roman"/>
          <w:spacing w:val="-4"/>
          <w:kern w:val="0"/>
          <w:sz w:val="24"/>
          <w:szCs w:val="24"/>
          <w:lang w:eastAsia="it-IT"/>
          <w14:ligatures w14:val="none"/>
        </w:rPr>
        <w:t xml:space="preserve"> n. 36</w:t>
      </w:r>
      <w:r w:rsidRPr="00722DC9">
        <w:rPr>
          <w:rFonts w:ascii="Times New Roman" w:eastAsia="Times New Roman" w:hAnsi="Times New Roman" w:cs="Times New Roman"/>
          <w:kern w:val="0"/>
          <w:sz w:val="24"/>
          <w:szCs w:val="24"/>
          <w:lang w:eastAsia="it-IT"/>
          <w14:ligatures w14:val="none"/>
        </w:rPr>
        <w:t>/2023.</w:t>
      </w:r>
    </w:p>
    <w:p w14:paraId="36AE5A7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9D05F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Il contratto potrà essere stipulato, ai sensi dell’art. 18, comma 1, del D.Lgs. n. 36/2023, mediante contratto di appalto o corrispondenza commerciale </w:t>
      </w:r>
      <w:r w:rsidRPr="00722DC9">
        <w:rPr>
          <w:rFonts w:ascii="Times New Roman" w:eastAsia="Times New Roman" w:hAnsi="Times New Roman" w:cs="Times New Roman"/>
          <w:bCs/>
          <w:color w:val="000000"/>
          <w:kern w:val="0"/>
          <w:sz w:val="24"/>
          <w:szCs w:val="24"/>
          <w:lang w:eastAsia="it-IT"/>
          <w14:ligatures w14:val="none"/>
        </w:rPr>
        <w:t>in modalità digitale secondo le indicazioni di cui al punto 4.4.1 delle Linee Guida ANAC n. 4.</w:t>
      </w:r>
      <w:r w:rsidRPr="00722DC9">
        <w:rPr>
          <w:rFonts w:ascii="Times New Roman" w:eastAsia="Times New Roman" w:hAnsi="Times New Roman" w:cs="Times New Roman"/>
          <w:kern w:val="0"/>
          <w:sz w:val="24"/>
          <w:szCs w:val="24"/>
          <w:lang w:eastAsia="it-IT"/>
          <w14:ligatures w14:val="none"/>
        </w:rPr>
        <w:t xml:space="preserve">. </w:t>
      </w:r>
    </w:p>
    <w:p w14:paraId="29EE1DB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EF663C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 seguito dell’affidamento, i rapporti tra le parti contraenti sono regolati:</w:t>
      </w:r>
    </w:p>
    <w:p w14:paraId="3D5F680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presente lettera di invito a presentare</w:t>
      </w:r>
      <w:r w:rsidRPr="00722DC9">
        <w:rPr>
          <w:rFonts w:ascii="Times New Roman" w:eastAsia="Calibri" w:hAnsi="Times New Roman" w:cs="Times New Roman"/>
          <w:color w:val="000000"/>
          <w:spacing w:val="-6"/>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offerta;</w:t>
      </w:r>
    </w:p>
    <w:p w14:paraId="10274D29"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dall’offerta economica presentata dall’operatore</w:t>
      </w:r>
      <w:r w:rsidRPr="00722DC9">
        <w:rPr>
          <w:rFonts w:ascii="Times New Roman" w:eastAsia="Calibri" w:hAnsi="Times New Roman" w:cs="Times New Roman"/>
          <w:color w:val="000000"/>
          <w:spacing w:val="-10"/>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economico;</w:t>
      </w:r>
    </w:p>
    <w:p w14:paraId="4EC7C53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determina di</w:t>
      </w:r>
      <w:r w:rsidRPr="00722DC9">
        <w:rPr>
          <w:rFonts w:ascii="Times New Roman" w:eastAsia="Calibri" w:hAnsi="Times New Roman" w:cs="Times New Roman"/>
          <w:color w:val="000000"/>
          <w:spacing w:val="-4"/>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affidamento;</w:t>
      </w:r>
    </w:p>
    <w:p w14:paraId="60E65022" w14:textId="77777777" w:rsidR="00722DC9" w:rsidRPr="00722DC9" w:rsidRDefault="00722DC9" w:rsidP="00722DC9">
      <w:pPr>
        <w:spacing w:after="0" w:line="240" w:lineRule="auto"/>
        <w:jc w:val="both"/>
        <w:rPr>
          <w:rFonts w:ascii="Times New Roman" w:eastAsia="Times New Roman" w:hAnsi="Times New Roman" w:cs="Times New Roman"/>
          <w:i/>
          <w:kern w:val="0"/>
          <w:sz w:val="24"/>
          <w:szCs w:val="24"/>
          <w:lang w:eastAsia="it-IT"/>
          <w14:ligatures w14:val="none"/>
        </w:rPr>
      </w:pPr>
    </w:p>
    <w:p w14:paraId="7E9D112C"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4 – CONTENUTO PRESTAZIONALE DELLA FORNITURA</w:t>
      </w:r>
    </w:p>
    <w:p w14:paraId="6AA8C99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21E2E13" w14:textId="424D8CE7" w:rsidR="0071263E" w:rsidRPr="0071263E" w:rsidRDefault="00722DC9" w:rsidP="0071263E">
      <w:pPr>
        <w:pStyle w:val="Textbody"/>
        <w:spacing w:after="0"/>
        <w:jc w:val="both"/>
      </w:pPr>
      <w:r w:rsidRPr="00722DC9">
        <w:rPr>
          <w:rFonts w:eastAsia="Times New Roman"/>
          <w:kern w:val="0"/>
          <w:lang w:eastAsia="it-IT"/>
        </w:rPr>
        <w:t xml:space="preserve">L’incarico relativo alla presente procedura di affidamento è relativo alla fornitura di un </w:t>
      </w:r>
      <w:r w:rsidR="00C81580" w:rsidRPr="0071263E">
        <w:t>ADDOBBI NATALIZI.</w:t>
      </w:r>
      <w:r w:rsidRPr="00722DC9">
        <w:rPr>
          <w:rFonts w:eastAsia="Times New Roman"/>
          <w:kern w:val="0"/>
          <w:lang w:eastAsia="it-IT"/>
        </w:rPr>
        <w:t xml:space="preserve">, </w:t>
      </w:r>
      <w:r w:rsidR="0071263E" w:rsidRPr="0071263E">
        <w:rPr>
          <w:rFonts w:eastAsia="Times New Roman"/>
          <w:kern w:val="0"/>
          <w:lang w:eastAsia="it-IT"/>
        </w:rPr>
        <w:t xml:space="preserve">come di </w:t>
      </w:r>
      <w:r w:rsidR="0071263E" w:rsidRPr="0071263E">
        <w:t>seguito elencato:</w:t>
      </w:r>
    </w:p>
    <w:p w14:paraId="3ADA8BE2" w14:textId="77777777" w:rsidR="0071263E" w:rsidRPr="0071263E" w:rsidRDefault="0071263E" w:rsidP="0071263E">
      <w:pPr>
        <w:spacing w:after="0" w:line="240" w:lineRule="auto"/>
        <w:jc w:val="both"/>
        <w:rPr>
          <w:rFonts w:ascii="Times New Roman" w:eastAsia="Lucida Sans Unicode" w:hAnsi="Times New Roman" w:cs="Times New Roman"/>
          <w:sz w:val="24"/>
          <w:szCs w:val="24"/>
          <w:lang w:eastAsia="zh-CN" w:bidi="hi-IN"/>
          <w14:ligatures w14:val="none"/>
        </w:rPr>
      </w:pPr>
    </w:p>
    <w:p w14:paraId="6D35360A" w14:textId="77777777" w:rsidR="0071263E" w:rsidRPr="0071263E" w:rsidRDefault="0071263E" w:rsidP="0071263E">
      <w:pPr>
        <w:numPr>
          <w:ilvl w:val="0"/>
          <w:numId w:val="5"/>
        </w:numPr>
        <w:tabs>
          <w:tab w:val="left" w:pos="400"/>
        </w:tabs>
        <w:suppressAutoHyphens/>
        <w:spacing w:after="0" w:line="240" w:lineRule="auto"/>
        <w:ind w:left="142" w:hanging="138"/>
        <w:rPr>
          <w:rFonts w:ascii="Times New Roman" w:eastAsia="0" w:hAnsi="Times New Roman" w:cs="Times New Roman"/>
          <w:sz w:val="24"/>
          <w:szCs w:val="24"/>
          <w:lang w:eastAsia="hi-IN" w:bidi="hi-IN"/>
          <w14:ligatures w14:val="none"/>
        </w:rPr>
      </w:pPr>
      <w:r w:rsidRPr="0071263E">
        <w:rPr>
          <w:rFonts w:ascii="Times New Roman" w:eastAsia="0" w:hAnsi="Times New Roman" w:cs="Times New Roman"/>
          <w:sz w:val="24"/>
          <w:szCs w:val="24"/>
          <w:lang w:eastAsia="hi-IN" w:bidi="hi-IN"/>
          <w14:ligatures w14:val="none"/>
        </w:rPr>
        <w:t xml:space="preserve">    </w:t>
      </w:r>
      <w:bookmarkStart w:id="0" w:name="_Hlk152665637"/>
      <w:r w:rsidRPr="0071263E">
        <w:rPr>
          <w:rFonts w:ascii="Times New Roman" w:eastAsia="0" w:hAnsi="Times New Roman" w:cs="Times New Roman"/>
          <w:sz w:val="24"/>
          <w:szCs w:val="24"/>
          <w:lang w:eastAsia="hi-IN" w:bidi="hi-IN"/>
          <w14:ligatures w14:val="none"/>
        </w:rPr>
        <w:t>Nr. 13 stelle a fiore tubo esterno bianco caldo e stringhe interne bianco freddo dimensione 100x100</w:t>
      </w:r>
      <w:bookmarkEnd w:id="0"/>
    </w:p>
    <w:p w14:paraId="2D670EC7" w14:textId="77777777" w:rsidR="0071263E" w:rsidRPr="0071263E" w:rsidRDefault="0071263E" w:rsidP="0071263E">
      <w:pPr>
        <w:numPr>
          <w:ilvl w:val="0"/>
          <w:numId w:val="5"/>
        </w:numPr>
        <w:tabs>
          <w:tab w:val="left" w:pos="338"/>
        </w:tabs>
        <w:suppressAutoHyphens/>
        <w:spacing w:after="0" w:line="240" w:lineRule="auto"/>
        <w:ind w:left="0" w:firstLine="0"/>
        <w:rPr>
          <w:rFonts w:ascii="Times New Roman" w:eastAsia="0" w:hAnsi="Times New Roman" w:cs="Times New Roman"/>
          <w:sz w:val="24"/>
          <w:szCs w:val="24"/>
          <w:lang w:eastAsia="hi-IN" w:bidi="hi-IN"/>
          <w14:ligatures w14:val="none"/>
        </w:rPr>
      </w:pPr>
      <w:r w:rsidRPr="0071263E">
        <w:rPr>
          <w:rFonts w:ascii="Times New Roman" w:eastAsia="0" w:hAnsi="Times New Roman" w:cs="Times New Roman"/>
          <w:sz w:val="24"/>
          <w:szCs w:val="24"/>
          <w:lang w:eastAsia="hi-IN" w:bidi="hi-IN"/>
          <w14:ligatures w14:val="none"/>
        </w:rPr>
        <w:t>Nr. 17 sfera natalizia 2D doppio Vertigo con tubo led bianco caldo a bordatura e stringa bianco caldo interna dimensione alt. cm. 100 largh. Cm 8;</w:t>
      </w:r>
    </w:p>
    <w:p w14:paraId="65AEA68E" w14:textId="77777777" w:rsidR="0071263E" w:rsidRPr="0071263E" w:rsidRDefault="0071263E" w:rsidP="0071263E">
      <w:pPr>
        <w:numPr>
          <w:ilvl w:val="0"/>
          <w:numId w:val="5"/>
        </w:numPr>
        <w:tabs>
          <w:tab w:val="left" w:pos="338"/>
        </w:tabs>
        <w:suppressAutoHyphens/>
        <w:spacing w:after="0" w:line="240" w:lineRule="auto"/>
        <w:ind w:left="0" w:firstLine="0"/>
        <w:rPr>
          <w:rFonts w:ascii="Times New Roman" w:eastAsia="0" w:hAnsi="Times New Roman" w:cs="Times New Roman"/>
          <w:sz w:val="24"/>
          <w:szCs w:val="24"/>
          <w:lang w:eastAsia="hi-IN" w:bidi="hi-IN"/>
          <w14:ligatures w14:val="none"/>
        </w:rPr>
      </w:pPr>
      <w:r w:rsidRPr="0071263E">
        <w:rPr>
          <w:rFonts w:ascii="Times New Roman" w:eastAsia="0" w:hAnsi="Times New Roman" w:cs="Times New Roman"/>
          <w:sz w:val="24"/>
          <w:szCs w:val="24"/>
          <w:lang w:eastAsia="hi-IN" w:bidi="hi-IN"/>
          <w14:ligatures w14:val="none"/>
        </w:rPr>
        <w:t>Nr. 05 Scatole Icelight Bicolor cm 400x130;</w:t>
      </w:r>
    </w:p>
    <w:p w14:paraId="7838939D" w14:textId="77777777" w:rsidR="0071263E" w:rsidRPr="0071263E" w:rsidRDefault="0071263E" w:rsidP="0071263E">
      <w:pPr>
        <w:numPr>
          <w:ilvl w:val="0"/>
          <w:numId w:val="5"/>
        </w:numPr>
        <w:tabs>
          <w:tab w:val="left" w:pos="338"/>
        </w:tabs>
        <w:suppressAutoHyphens/>
        <w:spacing w:after="0" w:line="240" w:lineRule="auto"/>
        <w:ind w:left="0" w:firstLine="0"/>
        <w:rPr>
          <w:rFonts w:ascii="Times New Roman" w:eastAsia="0" w:hAnsi="Times New Roman" w:cs="Times New Roman"/>
          <w:sz w:val="24"/>
          <w:szCs w:val="24"/>
          <w:lang w:eastAsia="hi-IN" w:bidi="hi-IN"/>
          <w14:ligatures w14:val="none"/>
        </w:rPr>
      </w:pPr>
      <w:r w:rsidRPr="0071263E">
        <w:rPr>
          <w:rFonts w:ascii="Times New Roman" w:eastAsia="0" w:hAnsi="Times New Roman" w:cs="Times New Roman"/>
          <w:sz w:val="24"/>
          <w:szCs w:val="24"/>
          <w:lang w:eastAsia="hi-IN" w:bidi="hi-IN"/>
          <w14:ligatures w14:val="none"/>
        </w:rPr>
        <w:t>Trasporto di tutto il materiale;</w:t>
      </w:r>
    </w:p>
    <w:p w14:paraId="4765ACC6" w14:textId="77777777" w:rsidR="0071263E" w:rsidRPr="0071263E" w:rsidRDefault="0071263E" w:rsidP="0071263E">
      <w:pPr>
        <w:numPr>
          <w:ilvl w:val="0"/>
          <w:numId w:val="5"/>
        </w:numPr>
        <w:tabs>
          <w:tab w:val="left" w:pos="338"/>
        </w:tabs>
        <w:suppressAutoHyphens/>
        <w:spacing w:after="0" w:line="240" w:lineRule="auto"/>
        <w:ind w:left="0" w:firstLine="0"/>
        <w:rPr>
          <w:rFonts w:ascii="Times New Roman" w:eastAsia="0" w:hAnsi="Times New Roman" w:cs="Times New Roman"/>
          <w:sz w:val="24"/>
          <w:szCs w:val="24"/>
          <w:lang w:eastAsia="hi-IN" w:bidi="hi-IN"/>
          <w14:ligatures w14:val="none"/>
        </w:rPr>
      </w:pPr>
    </w:p>
    <w:p w14:paraId="0B98EA85" w14:textId="02601E72" w:rsidR="00722DC9" w:rsidRPr="00722DC9" w:rsidRDefault="00722DC9" w:rsidP="0071263E">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L’importo totale del servizio oggetto del presente affidamento, da porre a base d’asta, è stato calcolato in </w:t>
      </w:r>
      <w:r w:rsidRPr="00722DC9">
        <w:rPr>
          <w:rFonts w:ascii="Times New Roman" w:eastAsia="Times New Roman" w:hAnsi="Times New Roman" w:cs="Times New Roman"/>
          <w:b/>
          <w:kern w:val="0"/>
          <w:sz w:val="24"/>
          <w:szCs w:val="24"/>
          <w:lang w:eastAsia="it-IT"/>
          <w14:ligatures w14:val="none"/>
        </w:rPr>
        <w:t xml:space="preserve">Euro </w:t>
      </w:r>
      <w:r w:rsidR="00636240">
        <w:rPr>
          <w:rFonts w:ascii="Times New Roman" w:hAnsi="Times New Roman" w:cs="Times New Roman"/>
          <w:b/>
          <w:color w:val="0F0F0F"/>
          <w:sz w:val="24"/>
          <w:szCs w:val="24"/>
        </w:rPr>
        <w:t>_______</w:t>
      </w:r>
      <w:r w:rsidR="0071263E" w:rsidRPr="0071263E">
        <w:rPr>
          <w:rFonts w:ascii="Times New Roman" w:hAnsi="Times New Roman" w:cs="Times New Roman"/>
          <w:color w:val="0F0F0F"/>
          <w:sz w:val="24"/>
          <w:szCs w:val="24"/>
        </w:rPr>
        <w:t xml:space="preserve"> </w:t>
      </w:r>
      <w:r w:rsidRPr="00722DC9">
        <w:rPr>
          <w:rFonts w:ascii="Times New Roman" w:eastAsia="Times New Roman" w:hAnsi="Times New Roman" w:cs="Times New Roman"/>
          <w:kern w:val="0"/>
          <w:sz w:val="24"/>
          <w:szCs w:val="24"/>
          <w:lang w:eastAsia="it-IT"/>
          <w14:ligatures w14:val="none"/>
        </w:rPr>
        <w:t>escluso IVA, da pagarsi con le modalità indicate nel seguente articolo.</w:t>
      </w:r>
    </w:p>
    <w:p w14:paraId="0469A52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3F1321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5 – PAGAMENTI</w:t>
      </w:r>
    </w:p>
    <w:p w14:paraId="371B784B"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33E2AA3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14:ligatures w14:val="none"/>
        </w:rPr>
      </w:pPr>
      <w:r w:rsidRPr="00722DC9">
        <w:rPr>
          <w:rFonts w:ascii="Times New Roman" w:eastAsia="Times New Roman" w:hAnsi="Times New Roman" w:cs="Times New Roman"/>
          <w:kern w:val="0"/>
          <w:sz w:val="24"/>
          <w:szCs w:val="24"/>
          <w14:ligatures w14:val="none"/>
        </w:rPr>
        <w:t>Il pagamento delle spettanze alla ditta avverrà entro 30 (trenta) giorni dalla data di ricezione di regolare fattura elettronica al protocollo comunale.</w:t>
      </w:r>
    </w:p>
    <w:p w14:paraId="19A8D913"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lastRenderedPageBreak/>
        <w:t>La fatturazione dovrà avvenire in base al prezzo praticato in sede di offerta, applicando il ribasso percentuale offerto.</w:t>
      </w:r>
    </w:p>
    <w:p w14:paraId="7D9C6040"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Pertanto, i prezzi praticati s'intendono offerti dalla Ditta aggiudicataria in base a calcoli di sua propria convenienza, a suo rischio e sono quindi invariabili ed indipendenti da qualsiasi eventualità.</w:t>
      </w:r>
    </w:p>
    <w:p w14:paraId="732579D9"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Ditta aggiudicataria non avrà quindi diritto ad alcun sovrapprezzo di qualsiasi natura e per qualsiasi causa o per sfavorevoli circostanze dopo l'aggiudicazione.</w:t>
      </w:r>
    </w:p>
    <w:p w14:paraId="7FC06AB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3CC176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6 - TRATTAMENTO DATI PERSONALI</w:t>
      </w:r>
    </w:p>
    <w:p w14:paraId="17AA813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highlight w:val="yellow"/>
          <w:lang w:eastAsia="it-IT"/>
          <w14:ligatures w14:val="none"/>
        </w:rPr>
      </w:pPr>
    </w:p>
    <w:p w14:paraId="032B062D" w14:textId="77777777" w:rsidR="00722DC9" w:rsidRPr="00722DC9" w:rsidRDefault="00722DC9" w:rsidP="00722DC9">
      <w:pPr>
        <w:tabs>
          <w:tab w:val="left" w:pos="142"/>
        </w:tabs>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 dati personali forniti dal concorrente saranno raccolti presso l’Ufficio Segreteria del Comune di Porto Azzurro esclusivamente per le finalità di gestione della procedura di gara. Responsabile esterno del trattamento dei dati è il Gestore del Sistema Telematico Acquisti Regionale della Toscana.</w:t>
      </w:r>
    </w:p>
    <w:p w14:paraId="2498A9DE"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Comune di Porto Azzurro dichiara che, in esecuzione agli obblighi imposti dal Regolamento UE 679/2016 in materia di protezione dei dati personali, relativamente al presente appalto, potrà trattare i dati personali del concorrente sia in formato cartaceo che elettronico, per finalità pubblica, di natura precontrattuale e contrattuale e per i connessi eventuali obblighi di legge.</w:t>
      </w:r>
    </w:p>
    <w:p w14:paraId="0FB96200"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trattamento dei dati avverrà ad opera di soggetti impegnati alla riservatezza, con logiche correlate alle finalità e comunque in modo da garantire la sicurezza e la protezione dei dati.</w:t>
      </w:r>
    </w:p>
    <w:p w14:paraId="55F154E5"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 xml:space="preserve">Il Titolare del trattamento è il Comune di Porto Azzurro </w:t>
      </w:r>
    </w:p>
    <w:p w14:paraId="2652A63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w:t>
      </w:r>
      <w:hyperlink r:id="rId5" w:history="1">
        <w:r w:rsidRPr="00722DC9">
          <w:rPr>
            <w:rFonts w:ascii="Times New Roman" w:eastAsia="SimSun" w:hAnsi="Times New Roman" w:cs="Times New Roman"/>
            <w:color w:val="0000FF"/>
            <w:kern w:val="0"/>
            <w:sz w:val="24"/>
            <w:szCs w:val="24"/>
            <w:u w:val="single"/>
            <w:lang w:eastAsia="zh-CN" w:bidi="hi-IN"/>
            <w14:ligatures w14:val="none"/>
          </w:rPr>
          <w:t xml:space="preserve">comuneportoazzurro@pcert.it </w:t>
        </w:r>
      </w:hyperlink>
      <w:r w:rsidRPr="00722DC9">
        <w:rPr>
          <w:rFonts w:ascii="Times New Roman" w:eastAsia="SimSun" w:hAnsi="Times New Roman" w:cs="Times New Roman"/>
          <w:color w:val="333333"/>
          <w:kern w:val="0"/>
          <w:sz w:val="24"/>
          <w:szCs w:val="24"/>
          <w:lang w:eastAsia="zh-CN" w:bidi="hi-IN"/>
          <w14:ligatures w14:val="none"/>
        </w:rPr>
        <w:t>).</w:t>
      </w:r>
    </w:p>
    <w:p w14:paraId="4BBE66D7" w14:textId="77777777" w:rsidR="00722DC9" w:rsidRPr="00722DC9" w:rsidRDefault="00722DC9" w:rsidP="00722DC9">
      <w:pPr>
        <w:suppressAutoHyphens/>
        <w:spacing w:after="0" w:line="240" w:lineRule="auto"/>
        <w:jc w:val="both"/>
        <w:rPr>
          <w:rFonts w:ascii="Times New Roman" w:eastAsia="SimSun" w:hAnsi="Times New Roman" w:cs="Times New Roman"/>
          <w:b/>
          <w:i/>
          <w:color w:val="00000A"/>
          <w:kern w:val="0"/>
          <w:sz w:val="24"/>
          <w:szCs w:val="24"/>
          <w:lang w:eastAsia="zh-CN" w:bidi="hi-IN"/>
          <w14:ligatures w14:val="none"/>
        </w:rPr>
      </w:pPr>
    </w:p>
    <w:p w14:paraId="627C130E" w14:textId="77777777" w:rsidR="00722DC9" w:rsidRPr="00722DC9" w:rsidRDefault="00722DC9" w:rsidP="00722DC9">
      <w:pPr>
        <w:keepNext/>
        <w:spacing w:after="0" w:line="240" w:lineRule="auto"/>
        <w:ind w:left="4678"/>
        <w:jc w:val="both"/>
        <w:outlineLvl w:val="3"/>
        <w:rPr>
          <w:rFonts w:ascii="Times New Roman" w:eastAsia="Times New Roman" w:hAnsi="Times New Roman" w:cs="Times New Roman"/>
          <w:bCs/>
          <w:i/>
          <w:kern w:val="0"/>
          <w:sz w:val="24"/>
          <w:szCs w:val="24"/>
          <w:lang w:eastAsia="it-IT"/>
          <w14:ligatures w14:val="none"/>
        </w:rPr>
      </w:pPr>
      <w:r w:rsidRPr="00722DC9">
        <w:rPr>
          <w:rFonts w:ascii="Times New Roman" w:eastAsia="Times New Roman" w:hAnsi="Times New Roman" w:cs="Times New Roman"/>
          <w:bCs/>
          <w:kern w:val="0"/>
          <w:sz w:val="24"/>
          <w:szCs w:val="24"/>
          <w:lang w:eastAsia="it-IT"/>
          <w14:ligatures w14:val="none"/>
        </w:rPr>
        <w:t xml:space="preserve">      Il Responsabile Area Amministrativa</w:t>
      </w:r>
    </w:p>
    <w:p w14:paraId="4CF3EED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t xml:space="preserve">               Dr. Ciro SATTO</w:t>
      </w:r>
    </w:p>
    <w:p w14:paraId="13751EBB" w14:textId="77777777" w:rsidR="0004072D" w:rsidRDefault="0004072D"/>
    <w:sectPr w:rsidR="000407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0">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79E9"/>
    <w:multiLevelType w:val="multilevel"/>
    <w:tmpl w:val="7D1AE5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EAC701D"/>
    <w:multiLevelType w:val="multilevel"/>
    <w:tmpl w:val="AA5C2A68"/>
    <w:lvl w:ilvl="0">
      <w:start w:val="1"/>
      <w:numFmt w:val="bullet"/>
      <w:lvlText w:val=""/>
      <w:lvlJc w:val="left"/>
      <w:pPr>
        <w:ind w:left="1429" w:hanging="360"/>
      </w:pPr>
      <w:rPr>
        <w:rFonts w:ascii="Symbol" w:hAnsi="Symbol" w:cs="Symbol" w:hint="default"/>
        <w:b/>
        <w:sz w:val="22"/>
      </w:rPr>
    </w:lvl>
    <w:lvl w:ilvl="1">
      <w:numFmt w:val="bullet"/>
      <w:lvlText w:val="o"/>
      <w:lvlJc w:val="left"/>
      <w:pPr>
        <w:ind w:left="2149" w:hanging="360"/>
      </w:pPr>
      <w:rPr>
        <w:rFonts w:ascii="Courier New" w:hAnsi="Courier New" w:cs="Courier New" w:hint="default"/>
      </w:rPr>
    </w:lvl>
    <w:lvl w:ilvl="2">
      <w:numFmt w:val="bullet"/>
      <w:lvlText w:val=""/>
      <w:lvlJc w:val="left"/>
      <w:pPr>
        <w:ind w:left="2869" w:hanging="360"/>
      </w:pPr>
      <w:rPr>
        <w:rFonts w:ascii="Wingdings" w:hAnsi="Wingdings" w:cs="Wingdings" w:hint="default"/>
      </w:rPr>
    </w:lvl>
    <w:lvl w:ilvl="3">
      <w:numFmt w:val="bullet"/>
      <w:lvlText w:val=""/>
      <w:lvlJc w:val="left"/>
      <w:pPr>
        <w:ind w:left="3589" w:hanging="360"/>
      </w:pPr>
      <w:rPr>
        <w:rFonts w:ascii="Symbol" w:hAnsi="Symbol" w:cs="Symbol" w:hint="default"/>
      </w:rPr>
    </w:lvl>
    <w:lvl w:ilvl="4">
      <w:numFmt w:val="bullet"/>
      <w:lvlText w:val="o"/>
      <w:lvlJc w:val="left"/>
      <w:pPr>
        <w:ind w:left="4309" w:hanging="360"/>
      </w:pPr>
      <w:rPr>
        <w:rFonts w:ascii="Courier New" w:hAnsi="Courier New" w:cs="Courier New" w:hint="default"/>
      </w:rPr>
    </w:lvl>
    <w:lvl w:ilvl="5">
      <w:numFmt w:val="bullet"/>
      <w:lvlText w:val=""/>
      <w:lvlJc w:val="left"/>
      <w:pPr>
        <w:ind w:left="5029" w:hanging="360"/>
      </w:pPr>
      <w:rPr>
        <w:rFonts w:ascii="Wingdings" w:hAnsi="Wingdings" w:cs="Wingdings" w:hint="default"/>
      </w:rPr>
    </w:lvl>
    <w:lvl w:ilvl="6">
      <w:numFmt w:val="bullet"/>
      <w:lvlText w:val=""/>
      <w:lvlJc w:val="left"/>
      <w:pPr>
        <w:ind w:left="5749" w:hanging="360"/>
      </w:pPr>
      <w:rPr>
        <w:rFonts w:ascii="Symbol" w:hAnsi="Symbol" w:cs="Symbol" w:hint="default"/>
      </w:rPr>
    </w:lvl>
    <w:lvl w:ilvl="7">
      <w:numFmt w:val="bullet"/>
      <w:lvlText w:val="o"/>
      <w:lvlJc w:val="left"/>
      <w:pPr>
        <w:ind w:left="6469" w:hanging="360"/>
      </w:pPr>
      <w:rPr>
        <w:rFonts w:ascii="Courier New" w:hAnsi="Courier New" w:cs="Courier New" w:hint="default"/>
      </w:rPr>
    </w:lvl>
    <w:lvl w:ilvl="8">
      <w:numFmt w:val="bullet"/>
      <w:lvlText w:val=""/>
      <w:lvlJc w:val="left"/>
      <w:pPr>
        <w:ind w:left="7189" w:hanging="360"/>
      </w:pPr>
      <w:rPr>
        <w:rFonts w:ascii="Wingdings" w:hAnsi="Wingdings" w:cs="Wingdings" w:hint="default"/>
      </w:rPr>
    </w:lvl>
  </w:abstractNum>
  <w:abstractNum w:abstractNumId="2" w15:restartNumberingAfterBreak="0">
    <w:nsid w:val="360C210E"/>
    <w:multiLevelType w:val="multilevel"/>
    <w:tmpl w:val="9E50040E"/>
    <w:lvl w:ilvl="0">
      <w:start w:val="1"/>
      <w:numFmt w:val="bullet"/>
      <w:lvlText w:val="-"/>
      <w:lvlJc w:val="left"/>
      <w:pPr>
        <w:ind w:left="350" w:hanging="138"/>
      </w:pPr>
      <w:rPr>
        <w:rFonts w:ascii="Arial" w:hAnsi="Arial" w:cs="Arial" w:hint="default"/>
      </w:rPr>
    </w:lvl>
    <w:lvl w:ilvl="1">
      <w:start w:val="1"/>
      <w:numFmt w:val="decimal"/>
      <w:lvlText w:val="%2."/>
      <w:lvlJc w:val="left"/>
      <w:pPr>
        <w:ind w:left="933" w:hanging="360"/>
      </w:pPr>
      <w:rPr>
        <w:rFonts w:ascii="Book Antiqua" w:eastAsia="Arial" w:hAnsi="Book Antiqua" w:cs="Arial"/>
        <w:spacing w:val="-1"/>
        <w:w w:val="100"/>
        <w:sz w:val="22"/>
        <w:szCs w:val="22"/>
        <w:lang w:val="it-IT" w:eastAsia="it-IT" w:bidi="it-IT"/>
      </w:rPr>
    </w:lvl>
    <w:lvl w:ilvl="2">
      <w:numFmt w:val="bullet"/>
      <w:lvlText w:val=""/>
      <w:lvlJc w:val="left"/>
      <w:pPr>
        <w:ind w:left="1991" w:hanging="360"/>
      </w:pPr>
      <w:rPr>
        <w:rFonts w:ascii="Symbol" w:hAnsi="Symbol" w:cs="Symbol" w:hint="defaul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abstractNum w:abstractNumId="3" w15:restartNumberingAfterBreak="0">
    <w:nsid w:val="37767476"/>
    <w:multiLevelType w:val="multilevel"/>
    <w:tmpl w:val="2D522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72F0742"/>
    <w:multiLevelType w:val="multilevel"/>
    <w:tmpl w:val="59769AA4"/>
    <w:lvl w:ilvl="0">
      <w:start w:val="2"/>
      <w:numFmt w:val="decimal"/>
      <w:lvlText w:val="%1"/>
      <w:lvlJc w:val="left"/>
      <w:pPr>
        <w:ind w:left="573" w:hanging="361"/>
      </w:pPr>
      <w:rPr>
        <w:lang w:val="it-IT" w:eastAsia="it-IT" w:bidi="it-IT"/>
      </w:rPr>
    </w:lvl>
    <w:lvl w:ilvl="1">
      <w:start w:val="1"/>
      <w:numFmt w:val="decimal"/>
      <w:lvlText w:val="%1.%2"/>
      <w:lvlJc w:val="left"/>
      <w:pPr>
        <w:ind w:left="573" w:hanging="361"/>
      </w:pPr>
      <w:rPr>
        <w:rFonts w:eastAsia="Arial" w:cs="Arial"/>
        <w:b/>
        <w:bCs/>
        <w:w w:val="100"/>
        <w:sz w:val="22"/>
        <w:szCs w:val="22"/>
        <w:lang w:val="it-IT" w:eastAsia="it-IT" w:bidi="it-IT"/>
      </w:rPr>
    </w:lvl>
    <w:lvl w:ilvl="2">
      <w:start w:val="1"/>
      <w:numFmt w:val="decimal"/>
      <w:lvlText w:val="%3."/>
      <w:lvlJc w:val="left"/>
      <w:pPr>
        <w:ind w:left="933" w:hanging="360"/>
      </w:pPr>
      <w:rPr>
        <w:rFonts w:ascii="Book Antiqua" w:eastAsia="Arial" w:hAnsi="Book Antiqua" w:cs="Arial"/>
        <w:b w:val="0"/>
        <w:spacing w:val="-1"/>
        <w:w w:val="100"/>
        <w:sz w:val="22"/>
        <w:szCs w:val="22"/>
        <w:lang w:val="it-IT" w:eastAsia="it-IT" w:bidi="it-I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num w:numId="1" w16cid:durableId="1809786359">
    <w:abstractNumId w:val="3"/>
  </w:num>
  <w:num w:numId="2" w16cid:durableId="1528442928">
    <w:abstractNumId w:val="2"/>
    <w:lvlOverride w:ilvl="0"/>
    <w:lvlOverride w:ilvl="1">
      <w:startOverride w:val="1"/>
    </w:lvlOverride>
    <w:lvlOverride w:ilvl="2"/>
    <w:lvlOverride w:ilvl="3"/>
    <w:lvlOverride w:ilvl="4"/>
    <w:lvlOverride w:ilvl="5"/>
    <w:lvlOverride w:ilvl="6"/>
    <w:lvlOverride w:ilvl="7"/>
    <w:lvlOverride w:ilvl="8"/>
  </w:num>
  <w:num w:numId="3" w16cid:durableId="340396570">
    <w:abstractNumId w:val="1"/>
  </w:num>
  <w:num w:numId="4" w16cid:durableId="1589923601">
    <w:abstractNumId w:val="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16cid:durableId="75813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B4"/>
    <w:rsid w:val="0004072D"/>
    <w:rsid w:val="002824B4"/>
    <w:rsid w:val="00636240"/>
    <w:rsid w:val="0071263E"/>
    <w:rsid w:val="00722DC9"/>
    <w:rsid w:val="00C815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40D3"/>
  <w15:chartTrackingRefBased/>
  <w15:docId w15:val="{07B61FD2-E845-4E43-8A25-4B4AF8EC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qFormat/>
    <w:rsid w:val="0071263E"/>
    <w:pPr>
      <w:spacing w:after="120" w:line="240" w:lineRule="auto"/>
    </w:pPr>
    <w:rPr>
      <w:rFonts w:ascii="Times New Roman" w:eastAsia="Lucida Sans Unicode" w:hAnsi="Times New Roman" w:cs="Times New Roman"/>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portoazzurro@pcert.it%20@pec.comuneportoazzurro.l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1551</Words>
  <Characters>8847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Commercio</dc:creator>
  <cp:keywords/>
  <dc:description/>
  <cp:lastModifiedBy>Commercio</cp:lastModifiedBy>
  <cp:revision>4</cp:revision>
  <dcterms:created xsi:type="dcterms:W3CDTF">2023-12-05T10:21:00Z</dcterms:created>
  <dcterms:modified xsi:type="dcterms:W3CDTF">2023-12-06T09:34:00Z</dcterms:modified>
</cp:coreProperties>
</file>