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AFD3" w14:textId="77777777" w:rsidR="00EB76B5" w:rsidRDefault="00EB76B5" w:rsidP="00EB76B5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0"/>
          <w:szCs w:val="20"/>
          <w:lang w:val="it-IT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  <w:lang w:val="it-IT"/>
        </w:rPr>
        <w:drawing>
          <wp:inline distT="0" distB="0" distL="0" distR="0" wp14:anchorId="43F520E0" wp14:editId="2DFB15A1">
            <wp:extent cx="1007745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141C" w14:textId="77777777" w:rsidR="00EB76B5" w:rsidRDefault="00EB76B5" w:rsidP="00EB76B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color w:val="000000"/>
          <w:kern w:val="0"/>
          <w:sz w:val="32"/>
          <w:szCs w:val="32"/>
          <w:lang w:val="it-IT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  <w:lang w:val="it-IT"/>
        </w:rPr>
        <w:t>PROCURA</w:t>
      </w:r>
    </w:p>
    <w:p w14:paraId="0A1D4394" w14:textId="77777777" w:rsidR="00EB76B5" w:rsidRDefault="00EB76B5" w:rsidP="00EB76B5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kern w:val="0"/>
          <w:sz w:val="20"/>
          <w:szCs w:val="20"/>
          <w:lang w:val="it-IT"/>
        </w:rPr>
      </w:pPr>
    </w:p>
    <w:p w14:paraId="2A7EEC61" w14:textId="77777777" w:rsidR="00EB76B5" w:rsidRDefault="00EB76B5" w:rsidP="00EB76B5">
      <w:pPr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623F21FF" w14:textId="13864899" w:rsidR="00EB76B5" w:rsidRDefault="00261DD6" w:rsidP="007F73EC">
      <w:pPr>
        <w:tabs>
          <w:tab w:val="right" w:leader="dot" w:pos="9214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  <w:lang w:val="it-IT"/>
        </w:rPr>
        <w:t xml:space="preserve">Il </w:t>
      </w:r>
      <w:r w:rsidR="00FA22F4">
        <w:rPr>
          <w:rFonts w:ascii="Arial" w:hAnsi="Arial" w:cs="Arial"/>
          <w:b/>
          <w:bCs/>
          <w:color w:val="000000"/>
          <w:kern w:val="0"/>
          <w:sz w:val="18"/>
          <w:szCs w:val="18"/>
          <w:lang w:val="it-IT"/>
        </w:rPr>
        <w:t>Comune di Porto Azzurro</w:t>
      </w:r>
      <w:r w:rsidR="00AB66F4">
        <w:rPr>
          <w:rFonts w:ascii="Arial" w:hAnsi="Arial" w:cs="Arial"/>
          <w:b/>
          <w:bCs/>
          <w:color w:val="000000"/>
          <w:kern w:val="0"/>
          <w:sz w:val="18"/>
          <w:szCs w:val="18"/>
          <w:lang w:val="it-IT"/>
        </w:rPr>
        <w:t xml:space="preserve">, </w:t>
      </w:r>
      <w:r w:rsidR="00AB66F4" w:rsidRP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>con sede</w:t>
      </w:r>
      <w:r w:rsidR="00FA22F4" w:rsidRP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</w:t>
      </w:r>
      <w:r w:rsidR="00AB66F4" w:rsidRP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legale Banchina IV </w:t>
      </w:r>
      <w:r w:rsidRP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>novembre</w:t>
      </w:r>
      <w:r w:rsidR="00AB66F4" w:rsidRP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, n. </w:t>
      </w:r>
      <w:r w:rsidRP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>19,</w:t>
      </w:r>
      <w:r w:rsidR="00AB66F4" w:rsidRP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57036, Porto Azzurro (LI) P.IVA 00425620499, in persona del </w:t>
      </w: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S</w:t>
      </w:r>
      <w:r w:rsidR="00AB66F4" w:rsidRP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>indaco pro tempore</w:t>
      </w:r>
      <w:r w:rsid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</w:t>
      </w:r>
      <w:r w:rsidR="00EB76B5">
        <w:rPr>
          <w:rFonts w:ascii="Arial" w:hAnsi="Arial" w:cs="Arial"/>
          <w:color w:val="000000"/>
          <w:kern w:val="0"/>
          <w:sz w:val="18"/>
          <w:szCs w:val="18"/>
          <w:lang w:val="it-IT"/>
        </w:rPr>
        <w:t>(mandante)</w:t>
      </w:r>
    </w:p>
    <w:p w14:paraId="2B082EE5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73FBD94F" w14:textId="219BC816" w:rsidR="00EB76B5" w:rsidRDefault="00EB76B5" w:rsidP="007F73EC">
      <w:pPr>
        <w:tabs>
          <w:tab w:val="left" w:pos="3402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Conferisce procura all’:</w:t>
      </w:r>
    </w:p>
    <w:p w14:paraId="1FCCAEE7" w14:textId="77777777" w:rsidR="00EB76B5" w:rsidRDefault="00EB76B5" w:rsidP="007F73EC">
      <w:pPr>
        <w:tabs>
          <w:tab w:val="left" w:pos="3402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0A5E897F" w14:textId="6CB3A9B9" w:rsidR="00EB76B5" w:rsidRDefault="00EB76B5" w:rsidP="007F73EC">
      <w:pPr>
        <w:tabs>
          <w:tab w:val="right" w:leader="dot" w:pos="9214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  <w:lang w:val="it-IT"/>
        </w:rPr>
        <w:t>Avv. Fulvio Pezzati</w:t>
      </w: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, notaio, master of law, via Soldino 22, 6900 Lugano (mandatario)</w:t>
      </w:r>
    </w:p>
    <w:p w14:paraId="67CD7BBD" w14:textId="77777777" w:rsidR="00EB76B5" w:rsidRDefault="00EB76B5" w:rsidP="007F73EC">
      <w:pPr>
        <w:tabs>
          <w:tab w:val="right" w:pos="9214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(indirizzo postale: 6900Lugano; e-mail: effepi1@me.com); tel: +41 91 9675771)</w:t>
      </w:r>
    </w:p>
    <w:p w14:paraId="5111011D" w14:textId="77777777" w:rsidR="00EB76B5" w:rsidRDefault="00EB76B5" w:rsidP="007F73EC">
      <w:pPr>
        <w:tabs>
          <w:tab w:val="right" w:pos="9214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14648E41" w14:textId="77777777" w:rsidR="00EB76B5" w:rsidRDefault="00EB76B5" w:rsidP="007F73EC">
      <w:pPr>
        <w:tabs>
          <w:tab w:val="left" w:pos="8505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ciascuno a titolo individuale, iscritto/i nel Registro degli avvocati del Cantone Ticino, membro/i dell’Ordine degli avvocati del Cantone Ticino (OATi) e della Federazione Svizzera degli Avvocati (FSA), perché abbia a rappresentarlo/i singolarmente, con facoltà di subdelega, relativamente alla seguente pratica:</w:t>
      </w:r>
    </w:p>
    <w:p w14:paraId="70B2097C" w14:textId="77777777" w:rsidR="00EB76B5" w:rsidRDefault="00EB76B5" w:rsidP="007F73EC">
      <w:pPr>
        <w:tabs>
          <w:tab w:val="left" w:pos="8505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7922CAE3" w14:textId="40F2BDA0" w:rsidR="00EB76B5" w:rsidRDefault="00FA22F4" w:rsidP="007F73EC">
      <w:pPr>
        <w:tabs>
          <w:tab w:val="right" w:leader="dot" w:pos="9214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bCs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  <w:lang w:val="it-IT"/>
        </w:rPr>
        <w:t>Procedura contro LP Credit SAGL, Lugano, inc CM.2023.76 Giudice di pace di Lugano Ovest</w:t>
      </w:r>
    </w:p>
    <w:p w14:paraId="46CE5595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74B61D5A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In particolare il mandatario è autorizzato ad agire in ogni procedura giudiziaria o extragiudiziaria direttamente o indirettamente connessa con l'oggetto sopra indicato, con la facoltà di chiamare e stare in causa, sporgere o ritirare querele e denunce penali, ricevere atti e citazioni, transigere, compromettere, appellare, deferire o riferire il giuramento, e ciò davanti a tutte le autorità amministrative, giudiziarie o arbitrali, iniziare e proseguire procedimenti esecutivi compresa la domanda di fallimento, accordare termini, proroghe e dilazioni, riscuotere somme, ricevere valori e rilasciare quietanze, fare depositi, prelevare fondi e procedere a pagamenti.</w:t>
      </w:r>
    </w:p>
    <w:p w14:paraId="0990F8F0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19AAD0C1" w14:textId="73C8CE41" w:rsidR="00EB76B5" w:rsidRDefault="00261DD6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Inoltre,</w:t>
      </w:r>
      <w:r w:rsidR="00EB76B5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il mandatario ha la facoltà di compiere ogni e qualsiasi atto che ritenesse nell'interesse del mandante, il quale lo ratifica già sin d'ora, tenendolo indenne da ogni e qualsiasi responsabilità ai sensi di legge. Una eventuale revoca di queste condizioni necessita la forma scritta. </w:t>
      </w:r>
    </w:p>
    <w:p w14:paraId="49172D1E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192AA9CC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Il mandante si impegna a versare al mandatario a prima richiesta tutti gli acconti necessari all’esecuzione del mandato. Egli si obbliga a rimborsare tutte le spese anticipate dal mandatario e a saldare i suoi onorari ed esborsi.</w:t>
      </w:r>
    </w:p>
    <w:p w14:paraId="14C0BF0B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A pratica ultimata, il mandatario è autorizzato, nei limiti delle sue pretese, a trattenere gli atti da lui redatti e a esercitare i diritti di compensazione e di ritenzione previsti dalla legge fino alla liquidazione di ogni ragione di dare e avere.</w:t>
      </w:r>
    </w:p>
    <w:p w14:paraId="416DCADC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2C0C26CD" w14:textId="1E6C628B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Il mandante dichiara di cedere al mandatario a titolo di garanzia le indennità per spese e ripetibili o crediti che il mandante stesso vanta a seguito del presente mandato nei confronti di tribunali, amministrazione, parti avverse, parti contraenti o altri terzi, e ciò fino a concorrenza delle pretese del </w:t>
      </w:r>
      <w:r w:rsidR="00261DD6">
        <w:rPr>
          <w:rFonts w:ascii="Arial" w:hAnsi="Arial" w:cs="Arial"/>
          <w:color w:val="000000"/>
          <w:kern w:val="0"/>
          <w:sz w:val="18"/>
          <w:szCs w:val="18"/>
          <w:lang w:val="it-IT"/>
        </w:rPr>
        <w:t>mandatario. Questa</w:t>
      </w: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cessione rimane in vigore anche in caso di revoca del mandato. Il terzo, informato della cessione, sarà così validamente liberato solo se pagherà al mandatario fino all’importo delle sue pretese. </w:t>
      </w:r>
    </w:p>
    <w:p w14:paraId="693947E2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558798E5" w14:textId="3F0D1E9A" w:rsidR="00EB76B5" w:rsidRDefault="00EB76B5" w:rsidP="007F73EC">
      <w:pPr>
        <w:tabs>
          <w:tab w:val="left" w:pos="4536"/>
          <w:tab w:val="left" w:pos="6237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Il manda</w:t>
      </w:r>
      <w:r w:rsidR="00261DD6">
        <w:rPr>
          <w:rFonts w:ascii="Arial" w:hAnsi="Arial" w:cs="Arial"/>
          <w:color w:val="000000"/>
          <w:kern w:val="0"/>
          <w:sz w:val="18"/>
          <w:szCs w:val="18"/>
          <w:lang w:val="it-IT"/>
        </w:rPr>
        <w:t>n</w:t>
      </w: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te svincola, a titolo preventivo, dal segreto professionale il legale, nel caso in cui si rendesse necessaria una procedura esecutiva e/o giudiziaria per l’incasso della nota.</w:t>
      </w:r>
    </w:p>
    <w:p w14:paraId="4E016354" w14:textId="77777777" w:rsidR="00EB76B5" w:rsidRDefault="00EB76B5" w:rsidP="007F73EC">
      <w:pPr>
        <w:tabs>
          <w:tab w:val="left" w:pos="4536"/>
          <w:tab w:val="left" w:pos="6237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Le fatture (finali o acconti) del mandatario valgono quale riconoscimento di debito ai sensi dell’art. 82 LEF, se non formalmente contestate entro 30 giorni dalla ricezione. Il termine di pagamento delle fatture </w:t>
      </w:r>
      <w:proofErr w:type="spellStart"/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é</w:t>
      </w:r>
      <w:proofErr w:type="spellEnd"/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di 30 giorni. </w:t>
      </w:r>
    </w:p>
    <w:p w14:paraId="264C7B10" w14:textId="77777777" w:rsidR="00EB76B5" w:rsidRDefault="00EB76B5" w:rsidP="007F73EC">
      <w:pPr>
        <w:tabs>
          <w:tab w:val="left" w:pos="4536"/>
          <w:tab w:val="left" w:pos="6237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5F19DDB7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Il mandatario, anche senza interpellare il mandante, è autorizzato a distruggere l'incarto trascorsi dieci anni dalla conclusione del mandato.</w:t>
      </w:r>
    </w:p>
    <w:p w14:paraId="7E5BAB90" w14:textId="77777777" w:rsidR="00EB76B5" w:rsidRDefault="00EB76B5" w:rsidP="007F73EC">
      <w:pPr>
        <w:tabs>
          <w:tab w:val="left" w:pos="4536"/>
          <w:tab w:val="left" w:pos="6237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Le parti possono revocare il mandato in ogni momento. Il mandante non potrà invocare l’art. 404 cpv. 2 CO, in caso di revoca per mancato pagamento degli importi fatturati. </w:t>
      </w:r>
    </w:p>
    <w:p w14:paraId="1DD1BDB5" w14:textId="77BB81E2" w:rsidR="00EB76B5" w:rsidRDefault="00261DD6" w:rsidP="007F73EC">
      <w:pPr>
        <w:tabs>
          <w:tab w:val="left" w:pos="4536"/>
          <w:tab w:val="left" w:pos="6237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Una responsabilità</w:t>
      </w:r>
      <w:r w:rsidR="00EB76B5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del mandatario </w:t>
      </w: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è</w:t>
      </w:r>
      <w:r w:rsidR="00EB76B5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data esclusivamente in caso di dolo o colpa grave e fino a concorrenza di un massimo di CHF 1’000’000.00 (un milione). </w:t>
      </w:r>
    </w:p>
    <w:p w14:paraId="12678F1D" w14:textId="77777777" w:rsidR="00EB76B5" w:rsidRDefault="00EB76B5" w:rsidP="007F73E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  <w:lang w:val="it-IT"/>
        </w:rPr>
        <w:t xml:space="preserve">Il mandante dichiara di eleggere il foro del domicilio del mandatario nel Cantone Ticino </w:t>
      </w: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e di riconoscere l'applicazione del diritto svizzero per ogni contestazione che potesse sorgere a dipendenza del presente mandato.</w:t>
      </w:r>
    </w:p>
    <w:p w14:paraId="29EA1484" w14:textId="77777777" w:rsidR="00EB76B5" w:rsidRDefault="00EB76B5" w:rsidP="007F73EC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1421E2A6" w14:textId="77777777" w:rsidR="00EB76B5" w:rsidRDefault="00EB76B5" w:rsidP="00EB76B5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</w:p>
    <w:p w14:paraId="6D4D4F4A" w14:textId="5CBAEB6A" w:rsidR="00E6596F" w:rsidRDefault="00FA22F4" w:rsidP="00EB76B5">
      <w:pPr>
        <w:tabs>
          <w:tab w:val="center" w:pos="6096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Porto Azzurro, </w:t>
      </w:r>
      <w:r w:rsidR="008253F6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li </w:t>
      </w:r>
      <w:r w:rsidR="00261DD6">
        <w:rPr>
          <w:rFonts w:ascii="Arial" w:hAnsi="Arial" w:cs="Arial"/>
          <w:color w:val="000000"/>
          <w:kern w:val="0"/>
          <w:sz w:val="18"/>
          <w:szCs w:val="18"/>
          <w:lang w:val="it-IT"/>
        </w:rPr>
        <w:t>2</w:t>
      </w:r>
      <w:r w:rsidR="008253F6">
        <w:rPr>
          <w:rFonts w:ascii="Arial" w:hAnsi="Arial" w:cs="Arial"/>
          <w:color w:val="000000"/>
          <w:kern w:val="0"/>
          <w:sz w:val="18"/>
          <w:szCs w:val="18"/>
          <w:lang w:val="it-IT"/>
        </w:rPr>
        <w:t>6</w:t>
      </w:r>
      <w:r w:rsid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giugno 2023</w:t>
      </w:r>
      <w:r w:rsidR="00E6596F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                                                      </w:t>
      </w:r>
      <w:r w:rsidR="00E6596F" w:rsidRPr="00E6596F">
        <w:rPr>
          <w:rFonts w:ascii="Arial" w:hAnsi="Arial" w:cs="Arial"/>
          <w:b/>
          <w:bCs/>
          <w:color w:val="000000"/>
          <w:kern w:val="0"/>
          <w:sz w:val="18"/>
          <w:szCs w:val="18"/>
          <w:lang w:val="it-IT"/>
        </w:rPr>
        <w:t>Comune di Porto Azzurro</w:t>
      </w:r>
      <w:r w:rsidR="00EB76B5" w:rsidRPr="00E6596F">
        <w:rPr>
          <w:rFonts w:ascii="Arial" w:hAnsi="Arial" w:cs="Arial"/>
          <w:b/>
          <w:bCs/>
          <w:color w:val="000000"/>
          <w:kern w:val="0"/>
          <w:sz w:val="18"/>
          <w:szCs w:val="18"/>
          <w:lang w:val="it-IT"/>
        </w:rPr>
        <w:tab/>
      </w:r>
    </w:p>
    <w:p w14:paraId="6E87AAC1" w14:textId="7A5BBC76" w:rsidR="00E6596F" w:rsidRDefault="00E6596F" w:rsidP="00EB76B5">
      <w:pPr>
        <w:tabs>
          <w:tab w:val="center" w:pos="6096"/>
        </w:tabs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kern w:val="0"/>
          <w:sz w:val="18"/>
          <w:szCs w:val="18"/>
          <w:lang w:val="it-IT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                                                                                                          </w:t>
      </w:r>
      <w:r w:rsid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il </w:t>
      </w:r>
      <w:r w:rsidR="00261DD6">
        <w:rPr>
          <w:rFonts w:ascii="Arial" w:hAnsi="Arial" w:cs="Arial"/>
          <w:color w:val="000000"/>
          <w:kern w:val="0"/>
          <w:sz w:val="18"/>
          <w:szCs w:val="18"/>
          <w:lang w:val="it-IT"/>
        </w:rPr>
        <w:t>S</w:t>
      </w:r>
      <w:r w:rsidR="00AB66F4">
        <w:rPr>
          <w:rFonts w:ascii="Arial" w:hAnsi="Arial" w:cs="Arial"/>
          <w:color w:val="000000"/>
          <w:kern w:val="0"/>
          <w:sz w:val="18"/>
          <w:szCs w:val="18"/>
          <w:lang w:val="it-IT"/>
        </w:rPr>
        <w:t>indaco pro tempore</w:t>
      </w:r>
    </w:p>
    <w:p w14:paraId="16292820" w14:textId="446F8DB5" w:rsidR="00DC56B2" w:rsidRDefault="00EB76B5" w:rsidP="00EB76B5"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ab/>
      </w:r>
      <w:r w:rsidR="00AF7E2C">
        <w:rPr>
          <w:rFonts w:ascii="Arial" w:hAnsi="Arial" w:cs="Arial"/>
          <w:color w:val="000000"/>
          <w:kern w:val="0"/>
          <w:sz w:val="18"/>
          <w:szCs w:val="18"/>
          <w:lang w:val="it-IT"/>
        </w:rPr>
        <w:tab/>
      </w:r>
      <w:r w:rsidR="00AF7E2C">
        <w:rPr>
          <w:rFonts w:ascii="Arial" w:hAnsi="Arial" w:cs="Arial"/>
          <w:color w:val="000000"/>
          <w:kern w:val="0"/>
          <w:sz w:val="18"/>
          <w:szCs w:val="18"/>
          <w:lang w:val="it-IT"/>
        </w:rPr>
        <w:tab/>
      </w:r>
      <w:r w:rsidR="00AF7E2C">
        <w:rPr>
          <w:rFonts w:ascii="Arial" w:hAnsi="Arial" w:cs="Arial"/>
          <w:color w:val="000000"/>
          <w:kern w:val="0"/>
          <w:sz w:val="18"/>
          <w:szCs w:val="18"/>
          <w:lang w:val="it-IT"/>
        </w:rPr>
        <w:tab/>
      </w:r>
      <w:r w:rsidR="00AF7E2C">
        <w:rPr>
          <w:rFonts w:ascii="Arial" w:hAnsi="Arial" w:cs="Arial"/>
          <w:color w:val="000000"/>
          <w:kern w:val="0"/>
          <w:sz w:val="18"/>
          <w:szCs w:val="18"/>
          <w:lang w:val="it-IT"/>
        </w:rPr>
        <w:tab/>
      </w:r>
      <w:r w:rsidR="00AF7E2C">
        <w:rPr>
          <w:rFonts w:ascii="Arial" w:hAnsi="Arial" w:cs="Arial"/>
          <w:color w:val="000000"/>
          <w:kern w:val="0"/>
          <w:sz w:val="18"/>
          <w:szCs w:val="18"/>
          <w:lang w:val="it-IT"/>
        </w:rPr>
        <w:tab/>
      </w:r>
      <w:r w:rsidR="00AF7E2C">
        <w:rPr>
          <w:rFonts w:ascii="Arial" w:hAnsi="Arial" w:cs="Arial"/>
          <w:color w:val="000000"/>
          <w:kern w:val="0"/>
          <w:sz w:val="18"/>
          <w:szCs w:val="18"/>
          <w:lang w:val="it-IT"/>
        </w:rPr>
        <w:tab/>
      </w:r>
      <w:r w:rsidR="00AF7E2C">
        <w:rPr>
          <w:rFonts w:ascii="Arial" w:hAnsi="Arial" w:cs="Arial"/>
          <w:color w:val="000000"/>
          <w:kern w:val="0"/>
          <w:sz w:val="18"/>
          <w:szCs w:val="18"/>
          <w:lang w:val="it-IT"/>
        </w:rPr>
        <w:tab/>
      </w:r>
      <w:r w:rsidR="007F73EC">
        <w:rPr>
          <w:rFonts w:ascii="Arial" w:hAnsi="Arial" w:cs="Arial"/>
          <w:color w:val="000000"/>
          <w:kern w:val="0"/>
          <w:sz w:val="18"/>
          <w:szCs w:val="18"/>
          <w:lang w:val="it-IT"/>
        </w:rPr>
        <w:t xml:space="preserve">     </w:t>
      </w:r>
      <w:r>
        <w:rPr>
          <w:rFonts w:ascii="Arial" w:hAnsi="Arial" w:cs="Arial"/>
          <w:color w:val="000000"/>
          <w:kern w:val="0"/>
          <w:sz w:val="18"/>
          <w:szCs w:val="18"/>
          <w:lang w:val="it-IT"/>
        </w:rPr>
        <w:t>(mandante)</w:t>
      </w:r>
    </w:p>
    <w:sectPr w:rsidR="00DC5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F4"/>
    <w:rsid w:val="00162FA3"/>
    <w:rsid w:val="00261DD6"/>
    <w:rsid w:val="004C19ED"/>
    <w:rsid w:val="007F73EC"/>
    <w:rsid w:val="008253F6"/>
    <w:rsid w:val="00AB66F4"/>
    <w:rsid w:val="00AF7E2C"/>
    <w:rsid w:val="00D111DF"/>
    <w:rsid w:val="00DC56B2"/>
    <w:rsid w:val="00E6596F"/>
    <w:rsid w:val="00EB76B5"/>
    <w:rsid w:val="00F53833"/>
    <w:rsid w:val="00F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74DD"/>
  <w15:chartTrackingRefBased/>
  <w15:docId w15:val="{61032AA5-EDC0-0A4E-AFA7-53F87481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3503</Characters>
  <Application>Microsoft Office Word</Application>
  <DocSecurity>4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 2023</dc:creator>
  <cp:keywords/>
  <dc:description/>
  <cp:lastModifiedBy>Alessandra Pacinotti</cp:lastModifiedBy>
  <cp:revision>2</cp:revision>
  <cp:lastPrinted>2023-06-26T12:14:00Z</cp:lastPrinted>
  <dcterms:created xsi:type="dcterms:W3CDTF">2023-06-26T12:17:00Z</dcterms:created>
  <dcterms:modified xsi:type="dcterms:W3CDTF">2023-06-26T12:17:00Z</dcterms:modified>
</cp:coreProperties>
</file>